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B10D19" w:rsidRPr="009F3E4E" w:rsidRDefault="00B10D19" w:rsidP="00B10D19">
      <w:pPr>
        <w:tabs>
          <w:tab w:val="center" w:pos="4535"/>
        </w:tabs>
        <w:spacing w:before="120" w:after="120" w:line="360" w:lineRule="auto"/>
        <w:jc w:val="center"/>
        <w:rPr>
          <w:b/>
          <w:sz w:val="28"/>
          <w:szCs w:val="28"/>
        </w:rPr>
      </w:pPr>
      <w:r w:rsidRPr="009F3E4E">
        <w:rPr>
          <w:b/>
          <w:sz w:val="28"/>
          <w:szCs w:val="28"/>
        </w:rPr>
        <w:t>Capítulo 14 - Patrimonialismo e Escravidão: fundamentos da estrutura e da dinâmica colonial brasileira</w:t>
      </w:r>
    </w:p>
    <w:p w:rsidR="00B10D19" w:rsidRDefault="00B10D19" w:rsidP="00B10D19">
      <w:pPr>
        <w:ind w:left="3960" w:firstLine="539"/>
        <w:jc w:val="right"/>
        <w:rPr>
          <w:i/>
        </w:rPr>
      </w:pPr>
      <w:r>
        <w:rPr>
          <w:i/>
        </w:rPr>
        <w:t>O inglês fundou na América uma pátria,</w:t>
      </w:r>
    </w:p>
    <w:p w:rsidR="00B10D19" w:rsidRDefault="00B10D19" w:rsidP="00B10D19">
      <w:pPr>
        <w:ind w:left="3960" w:firstLine="539"/>
        <w:jc w:val="right"/>
        <w:rPr>
          <w:i/>
        </w:rPr>
      </w:pPr>
      <w:r>
        <w:rPr>
          <w:i/>
        </w:rPr>
        <w:t>o português um prolongamento do Estado.</w:t>
      </w:r>
    </w:p>
    <w:p w:rsidR="00B10D19" w:rsidRDefault="00B10D19" w:rsidP="00B10D19">
      <w:pPr>
        <w:ind w:left="3960" w:firstLine="539"/>
        <w:jc w:val="right"/>
        <w:rPr>
          <w:b/>
        </w:rPr>
      </w:pPr>
      <w:r>
        <w:rPr>
          <w:b/>
        </w:rPr>
        <w:t>Raymundo Faoro</w:t>
      </w:r>
      <w:r w:rsidRPr="003A0055">
        <w:t>,</w:t>
      </w:r>
      <w:r>
        <w:rPr>
          <w:b/>
        </w:rPr>
        <w:t xml:space="preserve"> </w:t>
      </w:r>
      <w:r w:rsidRPr="003A0055">
        <w:rPr>
          <w:i/>
        </w:rPr>
        <w:t>Os Donos do Poder</w:t>
      </w:r>
    </w:p>
    <w:p w:rsidR="00B10D19" w:rsidRDefault="00B10D19" w:rsidP="00B10D19">
      <w:pPr>
        <w:spacing w:before="120" w:after="120" w:line="360" w:lineRule="auto"/>
        <w:ind w:firstLine="540"/>
        <w:jc w:val="both"/>
        <w:rPr>
          <w:i/>
        </w:rPr>
      </w:pPr>
    </w:p>
    <w:p w:rsidR="00B10D19" w:rsidRDefault="00B10D19" w:rsidP="00B10D19">
      <w:pPr>
        <w:spacing w:before="120" w:after="120" w:line="360" w:lineRule="auto"/>
        <w:jc w:val="both"/>
        <w:rPr>
          <w:b/>
        </w:rPr>
      </w:pPr>
      <w:r>
        <w:rPr>
          <w:b/>
        </w:rPr>
        <w:t>14.1 Introdução</w:t>
      </w:r>
    </w:p>
    <w:p w:rsidR="00B10D19" w:rsidRDefault="00B10D19" w:rsidP="00B10D19">
      <w:pPr>
        <w:spacing w:before="120" w:after="120" w:line="360" w:lineRule="auto"/>
        <w:ind w:firstLine="540"/>
        <w:jc w:val="both"/>
      </w:pPr>
      <w:r>
        <w:t>O Brasil é um filho muito particular da colonização européia no Novo Mundo. Duas são as manifestações mais evidentes desta particularidade. Em primeiro lugar, o Brasil é o único rebento dos grandes impérios coloniais na América - o espanhol, o inglês e o português - que se manteve uno após o fim do pacto colonial. Além disso, lhe é característico um patamar de desenvolvimento capitalista que o coloca numa posição única: quando se leva em conta o padrão de vida dos 4/5 mais pobres da população, ele apresenta um grau de desenvolvimento muito inferior, não apenas às duas grandes ex-colônias inglesas (EUA e Canadá), mas à parcela expressiva das ex-colônias espanholas (como Chile, Costa Rica, Argentina e Uruguai); não obstante, ao se tomar por critério de desenvolvimento o grau de industrialização e a capacidade competitiva e de liderança político-ideológica da sua burguesia, o Brasil se destaca entre os mais bem sucedidos rebentos da colonização ibérica (México, Argentina, Colômbia, Venezuela e Chile).</w:t>
      </w:r>
    </w:p>
    <w:p w:rsidR="00B10D19" w:rsidRDefault="00B10D19" w:rsidP="00B10D19">
      <w:pPr>
        <w:spacing w:before="120" w:after="120" w:line="360" w:lineRule="auto"/>
        <w:ind w:firstLine="540"/>
        <w:jc w:val="both"/>
        <w:rPr>
          <w:b/>
        </w:rPr>
      </w:pPr>
      <w:r>
        <w:t xml:space="preserve">As particularidades da estrutura e da dinâmica econômica e política brasileiras não passaram desapercebidas aos intérpretes da nação. Pelo contrário, foram objeto das mais diversas análises e de debates intensos desde o final do século XIX - a partir dos trabalhos seminais de homens como Joaquim Nabuco, Machado de Assis e Euclides da Cunha, para se consolidar na segunda metade deste mesmo século nas análises de mestres como Raymundo Faoro (1975), Celso Furtado (1984), Fernando Novais (1981), João Manuel Cardoso de Mello (1982) e Florestan Fernandes (1977 e 1981). O conjunto destes autores serve de referência às reflexões desenvolvidas nas páginas que seguem. De forma particular, Faoro, Novais e Florestan nos dão as bases para entender as peculiaridades do Antigo Regime português e do sistema colonial brasileiro, objeto deste capítulo. Florestan e Faoro orientam nossa leitura sobre o processo de Independência e a construção da sociedade nacional, objeto do capítulo seguinte; e, finalmente, Furtado, João Manuel e </w:t>
      </w:r>
      <w:r>
        <w:lastRenderedPageBreak/>
        <w:t xml:space="preserve">Florestan guiam nossas reflexões acerca da transição brasileira para o capitalismo e os limites da industrialização cafeeira, tema do </w:t>
      </w:r>
      <w:r w:rsidRPr="00C66BAC">
        <w:t>capítulo 1</w:t>
      </w:r>
      <w:r>
        <w:t>6</w:t>
      </w:r>
      <w:r w:rsidRPr="00C66BAC">
        <w:t>.</w:t>
      </w:r>
      <w:r>
        <w:t xml:space="preserve"> </w:t>
      </w:r>
    </w:p>
    <w:p w:rsidR="00B10D19" w:rsidRDefault="00B10D19" w:rsidP="00B10D19">
      <w:pPr>
        <w:spacing w:before="120" w:after="120" w:line="360" w:lineRule="auto"/>
        <w:ind w:firstLine="540"/>
        <w:jc w:val="both"/>
        <w:rPr>
          <w:b/>
        </w:rPr>
      </w:pPr>
    </w:p>
    <w:p w:rsidR="00B10D19" w:rsidRDefault="00B10D19" w:rsidP="00B10D19">
      <w:pPr>
        <w:spacing w:before="120" w:after="120" w:line="360" w:lineRule="auto"/>
        <w:jc w:val="both"/>
        <w:rPr>
          <w:b/>
        </w:rPr>
      </w:pPr>
      <w:r>
        <w:rPr>
          <w:b/>
        </w:rPr>
        <w:t>14.2 O Antigo Regime Português</w:t>
      </w:r>
    </w:p>
    <w:p w:rsidR="00B10D19" w:rsidRDefault="00B10D19" w:rsidP="00B10D19">
      <w:pPr>
        <w:spacing w:line="360" w:lineRule="auto"/>
        <w:ind w:firstLine="540"/>
        <w:jc w:val="both"/>
      </w:pPr>
      <w:r>
        <w:t>O Brasil nasce para a história com o advento da Idade Moderna; denominação particularmente adequada que a historiografia tradicional usa para caracterizar a infância da “Era do Capital”</w:t>
      </w:r>
      <w:r>
        <w:rPr>
          <w:rStyle w:val="Refdenotaderodap"/>
        </w:rPr>
        <w:t xml:space="preserve"> </w:t>
      </w:r>
      <w:r>
        <w:rPr>
          <w:rStyle w:val="Refdenotaderodap"/>
        </w:rPr>
        <w:footnoteReference w:id="1"/>
      </w:r>
      <w:r>
        <w:t xml:space="preserve">. A </w:t>
      </w:r>
      <w:r>
        <w:rPr>
          <w:b/>
        </w:rPr>
        <w:t>modernidade</w:t>
      </w:r>
      <w:r>
        <w:t xml:space="preserve"> do período fica atestada pelo processo de </w:t>
      </w:r>
      <w:r>
        <w:rPr>
          <w:b/>
        </w:rPr>
        <w:t>integração</w:t>
      </w:r>
      <w:r>
        <w:t xml:space="preserve"> e </w:t>
      </w:r>
      <w:r>
        <w:rPr>
          <w:b/>
        </w:rPr>
        <w:t>homogeneização</w:t>
      </w:r>
      <w:r>
        <w:t xml:space="preserve"> dos diversos espaços regionais europeus</w:t>
      </w:r>
      <w:r>
        <w:rPr>
          <w:rStyle w:val="Refdenotaderodap"/>
          <w:rFonts w:cs="Arial"/>
        </w:rPr>
        <w:footnoteReference w:id="2"/>
      </w:r>
      <w:r>
        <w:t xml:space="preserve"> e pela expansão e integração do mundo conhecido sob a égide e o comando da troca de mercadorias, vale dizer, do emergente Capital Mercantil, sujeito principal do processo de constituição dos fortes Estados Nacionais. Por outro lado, a </w:t>
      </w:r>
      <w:r>
        <w:rPr>
          <w:b/>
        </w:rPr>
        <w:t>não contemporaneidade</w:t>
      </w:r>
      <w:r>
        <w:t xml:space="preserve"> do período fica atestada pelo peso do passado na estrutura da sociedade: a sustentação de uma ordem social mais estamental do que de classes</w:t>
      </w:r>
      <w:r>
        <w:rPr>
          <w:rStyle w:val="Refdenotaderodap"/>
        </w:rPr>
        <w:footnoteReference w:id="3"/>
      </w:r>
      <w:r>
        <w:t xml:space="preserve">, vale dizer, de uma ordem social </w:t>
      </w:r>
      <w:r>
        <w:rPr>
          <w:b/>
        </w:rPr>
        <w:t>não competitiva</w:t>
      </w:r>
      <w:r>
        <w:t>, em que o Estado administra – com a força das armas e de uma legitimidade parcialmente aurida de um sistema decadente – o processo de criação e distribuição de riqueza, cedendo monopólios, abrindo exceções a normas imemoriais ou recentemente criadas, tributando diferenciadamente e sustentando o padrão pré-capitalista de apropriação de excedente da nobreza e do clero (Polanyi, 1944).</w:t>
      </w:r>
    </w:p>
    <w:p w:rsidR="00B10D19" w:rsidRDefault="00B10D19" w:rsidP="00B10D19">
      <w:pPr>
        <w:spacing w:before="120" w:after="120" w:line="360" w:lineRule="auto"/>
        <w:ind w:firstLine="540"/>
        <w:jc w:val="both"/>
      </w:pPr>
      <w:r>
        <w:t xml:space="preserve">A tônica desse período – em que os padrões burguês e estamental de socialização e apropriação se mesclam de forma diferenciada em cada uma das emergentes nações européias – será a generalização de uma complexa estrutura de poder convencionalmente denominada </w:t>
      </w:r>
      <w:r>
        <w:rPr>
          <w:b/>
        </w:rPr>
        <w:t>Antigo Regime</w:t>
      </w:r>
      <w:r>
        <w:t xml:space="preserve">. Sua característica mais marcante será a construção de Estados fortes e centralizados, que acionarão um conjunto de políticas econômicas – posteriormente denominadas </w:t>
      </w:r>
      <w:r>
        <w:rPr>
          <w:b/>
        </w:rPr>
        <w:t>mercantilistas</w:t>
      </w:r>
      <w:r>
        <w:t xml:space="preserve"> - que vão chamar a atenção pela sua coerência e similaridade. </w:t>
      </w:r>
    </w:p>
    <w:p w:rsidR="00B10D19" w:rsidRDefault="00B10D19" w:rsidP="00B10D19">
      <w:pPr>
        <w:spacing w:before="120" w:after="120" w:line="360" w:lineRule="auto"/>
        <w:ind w:firstLine="540"/>
        <w:jc w:val="both"/>
      </w:pPr>
      <w:r>
        <w:t xml:space="preserve">Não obstante, a homogeneização da Europa não será completa. O passado cobra o seu tributo, e a compreensão do significado das diferenças que subsistem será </w:t>
      </w:r>
      <w:r>
        <w:lastRenderedPageBreak/>
        <w:t xml:space="preserve">fundamental para que se compreenda o destino histórico diferenciado dos distintos países europeus e de suas respectivas colônias. </w:t>
      </w:r>
      <w:r>
        <w:rPr>
          <w:b/>
        </w:rPr>
        <w:t>Indo ao ponto: os determinantes da revolucionária precocidade de Portugal e Espanha na constituição de monarquias absolutistas e na expansão ultramarítima sob a égide do Antigo Sistema Colonial são componentes fundamentais da explicação da incapacidade destes países em transitar autonomamente para o capitalismo industrial</w:t>
      </w:r>
      <w:r>
        <w:t>. A Idade Moderna se consolidou em Portugal antes que na Espanha, França, Holanda ou Inglaterra. Mesmo a Itália, berço do Renascimento, só conhecerá um Estado unificado cinco séculos após a Revolução de Avis consolidar o poder real e a unidade do reino de Portugal. Em compensação – e pelos mesmos motivos -, em nenhum outro país, o Antigo Regime perdurou por mais tempo íntegro do que em Portugal</w:t>
      </w:r>
      <w:r>
        <w:rPr>
          <w:rStyle w:val="Refdenotaderodap"/>
        </w:rPr>
        <w:footnoteReference w:id="4"/>
      </w:r>
      <w:r>
        <w:t xml:space="preserve">. </w:t>
      </w:r>
    </w:p>
    <w:p w:rsidR="00B10D19" w:rsidRDefault="00B10D19" w:rsidP="00B10D19">
      <w:pPr>
        <w:spacing w:before="120" w:after="120" w:line="360" w:lineRule="auto"/>
        <w:ind w:firstLine="540"/>
        <w:jc w:val="both"/>
      </w:pPr>
      <w:r>
        <w:t xml:space="preserve">Poder-se-ia contra-argumentar que Portugal nunca apresentou certas características dos padrões francês ou inglês do Antigo Regime. De forma que, se tomamos estes como modelos, a afirmação acima teria de ser reconsiderada. Sem dúvida. O que nos impõe a explicitação do que estamos entendendo aqui por </w:t>
      </w:r>
      <w:r>
        <w:rPr>
          <w:b/>
        </w:rPr>
        <w:t>Antigo Regime</w:t>
      </w:r>
      <w:r>
        <w:t>.</w:t>
      </w:r>
    </w:p>
    <w:p w:rsidR="00B10D19" w:rsidRDefault="00B10D19" w:rsidP="00B10D19">
      <w:pPr>
        <w:spacing w:before="120" w:after="120" w:line="360" w:lineRule="auto"/>
        <w:ind w:firstLine="540"/>
        <w:jc w:val="both"/>
      </w:pPr>
      <w:r>
        <w:t xml:space="preserve">Para nós, este não se define simplesmente pelas particularidades histórico-empíricas das diversas monarquias absolutistas européias, a partir das quais se construiria uma forma qualquer de “tipo médio”. Definimo-lo, isto sim, como um sistema que tem um sentido; e este sentido é dado pelo processo europeu de transição para o capitalismo no qual a emergência da burguesia nos vastos interstícios criados pelas sociedades medievais coloca um conflito de interesses entre os representantes da velha ordem e da ordem ascendente. Na medida em que um tal conflito passa a ser mediado e arbitrado pelo Estado, este último amplia suas funções e prerrogativas, fortalecendo sua dimensão relativamente autônoma e criando um vasto corpo burocrático que, para além de viabilizar as políticas públicas, passa a constituir uma nova nobreza, </w:t>
      </w:r>
      <w:r>
        <w:rPr>
          <w:b/>
        </w:rPr>
        <w:t>que possui interesses próprios e contraditórios com o aprofundamento da ordem social competitiva (burguesa)</w:t>
      </w:r>
      <w:r>
        <w:rPr>
          <w:i/>
        </w:rPr>
        <w:t>.</w:t>
      </w:r>
      <w:r>
        <w:t xml:space="preserve">           </w:t>
      </w:r>
    </w:p>
    <w:p w:rsidR="00B10D19" w:rsidRDefault="00B10D19" w:rsidP="00B10D19">
      <w:pPr>
        <w:spacing w:before="120" w:after="120" w:line="360" w:lineRule="auto"/>
        <w:ind w:firstLine="540"/>
        <w:jc w:val="both"/>
      </w:pPr>
      <w:r>
        <w:t xml:space="preserve">O apoio da burguesia a este sistema híbrido advém do fato de que sua parcela hegemônica no período, a burguesia mercantil, </w:t>
      </w:r>
      <w:r>
        <w:rPr>
          <w:b/>
        </w:rPr>
        <w:t>necessita</w:t>
      </w:r>
      <w:r>
        <w:t xml:space="preserve"> da administração estatal das condições de produção e apropriação. A verdade é que – contraditoriamente – a burguesia necessita que se efetive o cerceamento da ordem competitiva. E isto porque, dada a </w:t>
      </w:r>
      <w:r>
        <w:lastRenderedPageBreak/>
        <w:t>estrutural fragilidade da valorização capitalista num período em que a revolução industrial ainda não foi posta (vale dizer, em que são diminutos a produtividade do trabalho e a massa de excedente gerado dentro e fora dos setores produtivos capitalistas), fica inviabilizada a destruição e a sujeição imediata pelo capital de formas pregressas de produção. Explico-me.</w:t>
      </w:r>
    </w:p>
    <w:p w:rsidR="00B10D19" w:rsidRDefault="00B10D19" w:rsidP="00B10D19">
      <w:pPr>
        <w:spacing w:before="120" w:after="120" w:line="360" w:lineRule="auto"/>
        <w:ind w:firstLine="540"/>
        <w:jc w:val="both"/>
      </w:pPr>
      <w:r>
        <w:t xml:space="preserve">Num momento em que a produtividade do trabalho ainda está determinada pela habilidade e capacitação dos trabalhadores e é limitada pelas estreitas possibilidades físicas deste - vale dizer, num momento em que o trabalhador ainda não foi transformado em apêndice da máquina e a produtividade da manufatura ainda é muito similar à do artesanato -, a parcela mais significativa da valorização capitalista não advém da exploração da força de trabalho submetida ao capital, mas tem uma dimensão “primitiva” (no sentido de Marx, 1980a, cap. 24). Neste caso, a exploração dos diferencias regionais de custos na produção de mercadorias, através do controle da quantidade ofertada dos bens importados cumpre um papel fundamental na valorização do capital: compram-se especiarias baratas nos mercados forâneos, que são vendidas por preços exorbitantes nos mercados metropolitanos. E vice-versa. O lucro aparece, aqui, não como um desdobramento da produção, mas como derivando diretamente de uma hábil transação mercantil. </w:t>
      </w:r>
    </w:p>
    <w:p w:rsidR="00B10D19" w:rsidRDefault="00B10D19" w:rsidP="00B10D19">
      <w:pPr>
        <w:spacing w:before="120" w:after="120" w:line="360" w:lineRule="auto"/>
        <w:ind w:firstLine="540"/>
        <w:jc w:val="both"/>
      </w:pPr>
      <w:r>
        <w:t>O problema é que, nestas condições, o desenvolvimento da concorrência tem que ser cerceado, pois um “excesso de concorrência” só pode levar ao achatamento dos diferenciais de valor, acompanhado de um aumento do poder de apropriação dos setores não-capitalistas. A burguesia mercantil apela, então, para o Estado, que administra a concorrência e a lucratividade das empresas via políticas tarifárias, concessão de monopólios, cerceamento (e, no limite, impedimento) da concorrência externa. Simultaneamente, o Estado do Antigo Regime, em conluio com a burguesia mercantil, limita o poder político e jurídico da velha nobreza e do clero e – o que vem a ser de nosso particular interesse – procura abrir novas frentes de valorização do capital, garantindo e sustentando a expansão marítima em direção às regiões produtoras de bens exóticos, paulatinamente incorporadas ao Antigo Sistema Colonial e submetidas ao “exclusivo metropolitano”</w:t>
      </w:r>
      <w:r>
        <w:rPr>
          <w:rStyle w:val="Refdenotaderodap"/>
          <w:rFonts w:cs="Arial"/>
        </w:rPr>
        <w:footnoteReference w:id="5"/>
      </w:r>
      <w:r>
        <w:t xml:space="preserve">.   </w:t>
      </w:r>
      <w:r>
        <w:rPr>
          <w:i/>
        </w:rPr>
        <w:t xml:space="preserve">    </w:t>
      </w:r>
    </w:p>
    <w:p w:rsidR="00B10D19" w:rsidRDefault="00B10D19" w:rsidP="00B10D19">
      <w:pPr>
        <w:spacing w:before="120" w:after="120" w:line="360" w:lineRule="auto"/>
        <w:ind w:firstLine="540"/>
        <w:jc w:val="both"/>
      </w:pPr>
      <w:r>
        <w:lastRenderedPageBreak/>
        <w:t>É nesse contexto peculiar, sob a égide das políticas mercantis do Antigo Regime, que o Brasil surge como espaço econômico integrado à emergente História Universal. Surge como colônia, mas não como colônia qualquer: como colônia típica do Antigo Sistema Colonial, sistema organizado “tanto legal como política, quanto fiscal e financeiramente para drenar as riquezas de dentro para fora” (Florestan, 1981, p.24), tendo em vista que o seu sentido é o de se “constituir como o fator essencial do desenvolvimento da metrópole” (Novais, 1985, p. 59).</w:t>
      </w:r>
    </w:p>
    <w:p w:rsidR="00B10D19" w:rsidRDefault="00B10D19" w:rsidP="00B10D19">
      <w:pPr>
        <w:spacing w:before="120" w:after="120" w:line="360" w:lineRule="auto"/>
        <w:ind w:firstLine="540"/>
        <w:jc w:val="both"/>
      </w:pPr>
      <w:r>
        <w:t>Esse processo de espoliação colonial – que explicará boa parte do atraso relativo no desenvolvimento capitalista brasileiro – se dará dentro dos marcos adequados à valorização capitalista no período. Seus instrumentos básicos serão: 1) o exclusivo metropolitano; 2) a organização da concorrência, via concessão de monopólios na comercialização de produtos específicos e no financiamento às atividades produtivas; 3) a circunscrição da diversificação produtiva (em particular, da produção manufatureira) na Colônia, como forma de garantir sua constituição em mercado para a produção metropolitana; e, sempre que necessário, 4) a administração dos preços dos bens transacionados, pela definição de preços mínimos de compra e venda de insumos e produtos coloniais. Tudo com vistas à subjugação dos segmentos produtores coloniais ao objetivo maior da valorização do capital mercantil e ao engrandecimento do Estado metropolitano. É só quando se atenta para esses objetivos que as características fundamentais da economia colonial brasileira - o latifúndio, o escravismo, a produção de bens “exóticos” e metais preciosos, o caráter mercantil voltado para a exportação – começam a fazer sentido e a mostrar a sua face de “todo racionalmente articulado”</w:t>
      </w:r>
      <w:r>
        <w:rPr>
          <w:rStyle w:val="Refdenotaderodap"/>
        </w:rPr>
        <w:t xml:space="preserve"> </w:t>
      </w:r>
      <w:r>
        <w:rPr>
          <w:rStyle w:val="Refdenotaderodap"/>
        </w:rPr>
        <w:footnoteReference w:id="6"/>
      </w:r>
      <w:r>
        <w:t xml:space="preserve">. </w:t>
      </w:r>
    </w:p>
    <w:p w:rsidR="00B10D19" w:rsidRDefault="00B10D19" w:rsidP="00B10D19">
      <w:pPr>
        <w:spacing w:before="120" w:after="120" w:line="360" w:lineRule="auto"/>
        <w:ind w:firstLine="540"/>
        <w:jc w:val="both"/>
      </w:pPr>
      <w:r>
        <w:t xml:space="preserve">Contudo, se o fundamento desta racionalidade é dado pela lógica mais geral que preside a definição das políticas públicas do Antigo Regime, é só quando se transcende (sem negar) esta órbita geral que se pode resgatar aqueles elementos específicos que nos ajudarão a dar os primeiros passos na compreensão da conformação peculiar da futura economia brasileira. Afinal, como bem lembra Novais, se o Antigo Sistema Colonial é um: </w:t>
      </w:r>
    </w:p>
    <w:p w:rsidR="00B10D19" w:rsidRDefault="00B10D19" w:rsidP="00B10D19">
      <w:pPr>
        <w:spacing w:before="120" w:after="120" w:line="360" w:lineRule="auto"/>
        <w:ind w:left="720" w:firstLine="540"/>
        <w:jc w:val="both"/>
      </w:pPr>
      <w:r>
        <w:lastRenderedPageBreak/>
        <w:t>“... projeto básico, que por vários séculos informou a política ultramarítima das nações européias, .... a história real se desenrola mais no plano do atípico e do peculiar do que no quadro dos modelos; e a colonização européia na época moderna oferece toda uma gama de situações que se afastam ou se aproximam daquele esquema” (Novais, 1985, p.59-60)</w:t>
      </w:r>
      <w:r>
        <w:rPr>
          <w:rStyle w:val="Refdenotaderodap"/>
          <w:rFonts w:cs="Arial"/>
        </w:rPr>
        <w:t xml:space="preserve"> </w:t>
      </w:r>
      <w:r>
        <w:rPr>
          <w:rStyle w:val="Refdenotaderodap"/>
          <w:rFonts w:cs="Arial"/>
        </w:rPr>
        <w:footnoteReference w:id="7"/>
      </w:r>
      <w:r>
        <w:t>.</w:t>
      </w:r>
    </w:p>
    <w:p w:rsidR="00B10D19" w:rsidRDefault="00B10D19" w:rsidP="00B10D19">
      <w:pPr>
        <w:spacing w:before="120" w:after="120" w:line="360" w:lineRule="auto"/>
        <w:ind w:firstLine="540"/>
        <w:jc w:val="both"/>
      </w:pPr>
      <w:r>
        <w:t xml:space="preserve"> A questão que se coloca neste momento é: onde encontraremos fundamentalmente estas especificidades? Se, em consonância com Cardoso de Mello, entendemos que as colônias e suas respectivas metrópoles são “uma única totalidade, ou melhor, um único processo em que o ‘sentido’ e os rumos são determinados pelas contradições que animam as economias metropolitanas” (Mello, 1982, p.42), a resposta se mostra evidente. </w:t>
      </w:r>
      <w:r>
        <w:rPr>
          <w:b/>
        </w:rPr>
        <w:t>É a forma assumida pelo Antigo Regime em Portugal e a evolução da inserção deste país no mercado mundial que, em primeira instância, explicarão o padrão específico do regime de espoliação colonial no Brasil</w:t>
      </w:r>
      <w:r>
        <w:rPr>
          <w:rStyle w:val="Refdenotaderodap"/>
          <w:b/>
        </w:rPr>
        <w:footnoteReference w:id="8"/>
      </w:r>
      <w:r>
        <w:t xml:space="preserve">. </w:t>
      </w:r>
    </w:p>
    <w:p w:rsidR="00B10D19" w:rsidRDefault="00B10D19" w:rsidP="00B10D19">
      <w:pPr>
        <w:spacing w:before="120" w:after="120" w:line="360" w:lineRule="auto"/>
        <w:ind w:firstLine="540"/>
        <w:jc w:val="both"/>
      </w:pPr>
      <w:r>
        <w:t xml:space="preserve">Ora, o que mais desperta a atenção na História de Portugal é a precocidade com que este país constitui um Estado centralizado absolutista e parte para a expansão ultramarina. O fundamento desta precocidade está na forma mesma como se </w:t>
      </w:r>
      <w:r>
        <w:rPr>
          <w:b/>
        </w:rPr>
        <w:t>constitui</w:t>
      </w:r>
      <w:r>
        <w:t xml:space="preserve"> o Estado-nação. Fruto de uma secular guerra pela expulsão dos muçulmanos, a estrutura social e política medieval portuguesa (assim como dos demais Estados católicos ibéricos) será marcada pela presença de um exército relativamente moderno em termos de estruturação hierárquica (</w:t>
      </w:r>
      <w:r>
        <w:rPr>
          <w:i/>
        </w:rPr>
        <w:t>vis-à-vis</w:t>
      </w:r>
      <w:r>
        <w:t xml:space="preserve"> a estrutura dos “exércitos feudais” das demais nações européias em processo de constituição), em que o rei será o inconteste senhor da guerra e da paz. Com </w:t>
      </w:r>
      <w:r>
        <w:lastRenderedPageBreak/>
        <w:t xml:space="preserve">o avanço do processo de expulsão dos mouros, </w:t>
      </w:r>
      <w:r>
        <w:rPr>
          <w:b/>
        </w:rPr>
        <w:t>o rei se constituirá rapidamente no maior proprietário de terras do país, dividindo com o clero o papel de maior apropriador de rendas, enquanto cabia à relativamente fraca nobreza “entre um quarto e metade [das terras e rendas] em comparação com cada um dos dois outros setores privilegiados”</w:t>
      </w:r>
      <w:r>
        <w:t xml:space="preserve"> (Gorender, 1980, p.116). </w:t>
      </w:r>
    </w:p>
    <w:p w:rsidR="00B10D19" w:rsidRDefault="00B10D19" w:rsidP="00B10D19">
      <w:pPr>
        <w:spacing w:before="120" w:after="120" w:line="360" w:lineRule="auto"/>
        <w:ind w:firstLine="540"/>
        <w:jc w:val="both"/>
      </w:pPr>
      <w:r>
        <w:t>Como nos lembrará Faoro, estes “dois caracteres conjugados – o rei senhor de guerra e o rei senhor de terras imensas – imprimiram a feição indelével à história de reino nascente” (Faoro, 1975, pp. 4/5). Na verdade, parece mais correto afirmar que Portugal já nasce centralizado, do que pretender que seu processo de centralização seja “precoce”</w:t>
      </w:r>
      <w:r>
        <w:rPr>
          <w:rStyle w:val="Refdenotaderodap"/>
          <w:rFonts w:cs="Arial"/>
        </w:rPr>
        <w:t xml:space="preserve"> </w:t>
      </w:r>
      <w:r>
        <w:rPr>
          <w:rStyle w:val="Refdenotaderodap"/>
          <w:rFonts w:cs="Arial"/>
        </w:rPr>
        <w:footnoteReference w:id="9"/>
      </w:r>
      <w:r>
        <w:t xml:space="preserve">. O que realmente importa, contudo, o que terá conseqüências profundas no desenrolar na historia desse país e de sua mais importante colônia, o Brasil, é que </w:t>
      </w:r>
      <w:r>
        <w:rPr>
          <w:b/>
          <w:bCs/>
        </w:rPr>
        <w:t>o principal sustentáculo do processo de centralização monárquica será o poder militar e econômico da própria Coroa</w:t>
      </w:r>
      <w:r>
        <w:t xml:space="preserve">; poder haurido de um processo histórico que, à diferença das nações européias de passado propriamente feudal, </w:t>
      </w:r>
      <w:r>
        <w:rPr>
          <w:bCs/>
        </w:rPr>
        <w:t>antecede</w:t>
      </w:r>
      <w:r>
        <w:t xml:space="preserve"> à consolidação das burguesias urbana e mercantil enquanto frações de classe suficientemente expressivas nos planos político e econômico para </w:t>
      </w:r>
      <w:r>
        <w:rPr>
          <w:bCs/>
        </w:rPr>
        <w:t>enfrentar</w:t>
      </w:r>
      <w:r>
        <w:t xml:space="preserve"> a nobreza e </w:t>
      </w:r>
      <w:r>
        <w:rPr>
          <w:bCs/>
        </w:rPr>
        <w:t>sustentar</w:t>
      </w:r>
      <w:r>
        <w:t xml:space="preserve"> o rei em sua luta pela (re)centralização. </w:t>
      </w:r>
    </w:p>
    <w:p w:rsidR="00B10D19" w:rsidRDefault="00B10D19" w:rsidP="00B10D19">
      <w:pPr>
        <w:spacing w:before="120" w:after="120" w:line="360" w:lineRule="auto"/>
        <w:ind w:firstLine="540"/>
        <w:jc w:val="both"/>
      </w:pPr>
      <w:r>
        <w:t>A conseqüência imediata desse padrão histórico peculiar de centralização será que, na versão portuguesa do pacto de mútuo apoio da burguesia e a Coroa</w:t>
      </w:r>
      <w:r>
        <w:rPr>
          <w:rStyle w:val="Refdenotaderodap"/>
        </w:rPr>
        <w:footnoteReference w:id="10"/>
      </w:r>
      <w:r>
        <w:t xml:space="preserve">, haverá um setor hegemônico; e este será a Coroa, de clara feição </w:t>
      </w:r>
      <w:r>
        <w:rPr>
          <w:b/>
        </w:rPr>
        <w:t>patrimonial</w:t>
      </w:r>
      <w:r>
        <w:rPr>
          <w:rStyle w:val="Refdenotaderodap"/>
          <w:rFonts w:cs="Arial"/>
          <w:b/>
        </w:rPr>
        <w:footnoteReference w:id="11"/>
      </w:r>
      <w:r>
        <w:t xml:space="preserve">. Por isto mesmo o Estado </w:t>
      </w:r>
      <w:r>
        <w:lastRenderedPageBreak/>
        <w:t xml:space="preserve">português se converterá no grande articulador e promotor da expansão ultramarina, garantindo para o capital mercantil, para a Igreja Católica e para a velha nobreza (garroteada, mas ainda dispondo de força política e militar não desprezível) a participação nos frutos da exploração colonial necessários para a sua mobilização na perigosa e lucrativa empreitada. Isto, aliás, não pode surpreender: dado o caráter militar do empreendimento (que lhe conferia altos riscos), somente um Estado forte, capaz de somar às suas próprias forças, de forma coordenada e articulada, as forças da burguesia, do clero e da velha nobreza, poderia enfrentar com sucesso a árdua tarefa de ter a primazia na realização, seja do périplo africano, seja da montagem de uma expressiva economia colonial agrícola de exportação em terras americanas. </w:t>
      </w:r>
    </w:p>
    <w:p w:rsidR="00B10D19" w:rsidRDefault="00B10D19" w:rsidP="00B10D19">
      <w:pPr>
        <w:spacing w:before="120" w:after="120" w:line="360" w:lineRule="auto"/>
        <w:ind w:firstLine="540"/>
        <w:jc w:val="both"/>
      </w:pPr>
      <w:r>
        <w:t xml:space="preserve">A História só poderia ser outra se Portugal contasse com uma burguesia mercantil cuja acumulação prévia fosse suficiente para articular, em torno de si, o conjunto dos agentes sociais necessários ao enfrentamento de um projeto de tamanha envergadura. Mas esta alternativa não está posta na Europa do século XV e primeira metade do XVI; nem mesmo para as pequenas Repúblicas italianas ou para a emergente Flandres E se ela era inviável fora de Portugal, muito mais o seria neste país, que não contava com uma burguesia mercantil suficientemente desenvolvida sequer para dispensar o apoio do capital mercantil italiano e flamengo no processamento e distribuição das mercadorias conquistadas a partir da expansão ultramarítima. </w:t>
      </w:r>
    </w:p>
    <w:p w:rsidR="00B10D19" w:rsidRDefault="00B10D19" w:rsidP="00B10D19">
      <w:pPr>
        <w:spacing w:before="120" w:after="120" w:line="360" w:lineRule="auto"/>
        <w:ind w:firstLine="540"/>
        <w:jc w:val="both"/>
      </w:pPr>
      <w:r>
        <w:t xml:space="preserve">Com isto não queremos dizer que o papel da burguesia mercantil portuguesa tenha sido periférico ou secundário. Certamente não o foi, nem poderia ter sido. Afinal, todo o sentido do processo de expansão colonial da Idade Moderna encontra-se justamente na apropriação e/ou produção de bens “exóticos” mercantilizáveis na Europa a um preço significativamente superior aos custos de obtenção no ultramar. Como poderia ser secundário o papel de um segmento social que, justamente, controla a chamada “Revolução Comercial”, sem a qual não seria possível à Coroa se apropriar (enquanto sócia empreendedora e/ou enquanto poder público autorizado à exação fiscal) de qualquer parcela da intermediação? A verdade é que, para a efetivação do projeto do Estado </w:t>
      </w:r>
      <w:r>
        <w:lastRenderedPageBreak/>
        <w:t xml:space="preserve">Patrimonial português, a burguesia mercantil cumpria um papel absolutamente central. Ela não apenas oferecia as bases da exação fiscal e para-fiscal que sustentaria a máquina pública e os ganhos do estamento burocrático, como se constituía no principal aliado da Coroa na luta pela limitação do poder da velha nobreza e do clero. O extraordinário desenvolvimento da dimensão (relativamente) autônoma do Estado português não será, portanto, de molde a negar seu papel de articulador das condições de valorização do capital mercantil. Antes pelo contrario, este papel será levado às últimas conseqüências; o que é fator essencial na explicação de pouca relevância econômica das “Companhias das Índias” em Portugal, Em Portugal, o papel histórico fundamental de administração da concorrência exercido pelas companhias de comércio colonial na Inglaterra, Holanda e França, foi cumprido diretamente pelo Estado, e de forma muito mais eficiente. Na verdade, como líder inconteste do processo de expansão ultramarina, a Coroa será proprietária de todas as terras, rotas e tráficos descobertos e por descobrir. Porém, </w:t>
      </w:r>
    </w:p>
    <w:p w:rsidR="00B10D19" w:rsidRDefault="00B10D19" w:rsidP="00B10D19">
      <w:pPr>
        <w:pStyle w:val="Recuodecorpodetexto"/>
        <w:spacing w:line="240" w:lineRule="auto"/>
        <w:ind w:left="540" w:firstLine="0"/>
      </w:pPr>
      <w:r>
        <w:t xml:space="preserve">“... o monopólio da [da Coroa] sempre virtual, sempre possível, só em alguns casos [será] estabelecidos de fato .... [Os motivos são claros:] sem a rede comercial que se estende da Itália à Inglaterra não seria possível alimentar as compras africanas e asiáticas: o monopólio régio, por isso, se reduzia a uma superintendência comercial, orientadora de circulação” (Faoro, 1975, pp.56/7). </w:t>
      </w:r>
    </w:p>
    <w:p w:rsidR="00B10D19" w:rsidRDefault="00B10D19" w:rsidP="00B10D19">
      <w:pPr>
        <w:pStyle w:val="Recuodecorpodetexto"/>
        <w:spacing w:line="240" w:lineRule="auto"/>
        <w:ind w:left="540" w:firstLine="0"/>
      </w:pPr>
    </w:p>
    <w:p w:rsidR="00B10D19" w:rsidRDefault="00B10D19" w:rsidP="00B10D19">
      <w:pPr>
        <w:spacing w:before="120" w:after="120" w:line="360" w:lineRule="auto"/>
        <w:ind w:firstLine="540"/>
        <w:jc w:val="both"/>
      </w:pPr>
      <w:r>
        <w:t>E a orientação da circulação tem um claro sentido: garantir a máxima lucratividade ao comércio, a partir da adequada administração da quantidade produzida e ofertada de produtos coloniais. Um sistema de orientação tão eficiente que conquistou marcante sustentabilidade. E esta sustentabilidade terá um preço elevado: ela é a outra face da estagnação portuguesa no ocaso da Idade Moderna e do retardo deste reino na transição para a ordem socioeconômica especificamente burguesa, competitiva e industrial. O Brasil será o grande herdeiro deste fracasso peculiar, deste atraso que se desdobra diretamente da modernidade (mais que precoce) congênita do Estado Portucalense.</w:t>
      </w:r>
    </w:p>
    <w:p w:rsidR="00B10D19" w:rsidRDefault="00B10D19" w:rsidP="00B10D19">
      <w:pPr>
        <w:spacing w:before="120" w:after="120" w:line="360" w:lineRule="auto"/>
        <w:ind w:firstLine="540"/>
        <w:jc w:val="both"/>
      </w:pPr>
      <w:r>
        <w:t xml:space="preserve">  </w:t>
      </w:r>
    </w:p>
    <w:p w:rsidR="00B10D19" w:rsidRDefault="00B10D19" w:rsidP="00B10D19">
      <w:pPr>
        <w:spacing w:before="120" w:after="120" w:line="360" w:lineRule="auto"/>
        <w:jc w:val="both"/>
      </w:pPr>
      <w:r>
        <w:rPr>
          <w:b/>
        </w:rPr>
        <w:t xml:space="preserve">14.3 A Economia e a Sociedade Escravista Colonial </w:t>
      </w:r>
    </w:p>
    <w:p w:rsidR="00B10D19" w:rsidRDefault="00B10D19" w:rsidP="00B10D19">
      <w:pPr>
        <w:spacing w:before="120" w:after="120" w:line="360" w:lineRule="auto"/>
        <w:ind w:firstLine="540"/>
        <w:jc w:val="both"/>
      </w:pPr>
      <w:r>
        <w:t xml:space="preserve">Apresentamos acima os traços gerais do processo de expansão ultramarina portuguesa que explicam, tanto a primazia, quanto a decadência econômica deste país (e de sua colônia americana) no dobre de finados do Antigo Sistema Colonial. Já vimos também que esta primazia e decadência são frutos da mesma árvore: um sistema político-econômico no qual um Estado patrimonialista, avesso à difusão da ordem social </w:t>
      </w:r>
      <w:r>
        <w:lastRenderedPageBreak/>
        <w:t>competitiva, detém o comando efetivo do processo de apropriação e distribuição do excedente econômico. Mas se esses são os traços que dão a tônica do Antigo Regime e do Antigo Sistema Colonial portugueses, eles terão de assumir uma forma muito particular para se adequarem às peculiares condições das terras americanas. Como nos diz Faoro:</w:t>
      </w:r>
    </w:p>
    <w:p w:rsidR="00B10D19" w:rsidRDefault="00B10D19" w:rsidP="00B10D19">
      <w:pPr>
        <w:pStyle w:val="Recuodecorpodetexto"/>
        <w:spacing w:line="240" w:lineRule="auto"/>
        <w:ind w:left="708" w:firstLine="0"/>
      </w:pPr>
      <w:r>
        <w:t xml:space="preserve">“... a descoberta do Brasil entrelaça-se na ultramarina expansão comercial portuguesa, ..., [mas será um] episodio perturbador e original, incapaz de se articular totalmente nas navegações africanas e asiáticas” (Faoro, 1975, pp. 99/100). </w:t>
      </w:r>
    </w:p>
    <w:p w:rsidR="00B10D19" w:rsidRDefault="00B10D19" w:rsidP="00B10D19">
      <w:pPr>
        <w:spacing w:before="120" w:after="120" w:line="360" w:lineRule="auto"/>
        <w:ind w:firstLine="540"/>
        <w:jc w:val="both"/>
      </w:pPr>
      <w:r>
        <w:t xml:space="preserve">As populações autóctones  </w:t>
      </w:r>
    </w:p>
    <w:p w:rsidR="00B10D19" w:rsidRDefault="00B10D19" w:rsidP="00B10D19">
      <w:pPr>
        <w:spacing w:before="120" w:after="120"/>
        <w:ind w:left="708"/>
        <w:jc w:val="both"/>
      </w:pPr>
      <w:r>
        <w:t xml:space="preserve">“... não lavram nem criam. Não há aqui boi, nem vaca, nem cabra, nem ovelha, nem galinha, nem qualquer alimária costumada ao viver dos homens. .....[E pior:] nela, até agora, não pudemos saber que haja ouro, nem prata, nem coisa alguma de metal ou ferro; nem lho vimos” (Pero Vaz de Caminha, Apud Faoro, 1975, p.100). </w:t>
      </w:r>
    </w:p>
    <w:p w:rsidR="00B10D19" w:rsidRDefault="00B10D19" w:rsidP="00B10D19">
      <w:pPr>
        <w:spacing w:before="120" w:after="120"/>
        <w:ind w:left="708"/>
        <w:jc w:val="both"/>
      </w:pPr>
    </w:p>
    <w:p w:rsidR="00B10D19" w:rsidRDefault="00B10D19" w:rsidP="00B10D19">
      <w:pPr>
        <w:spacing w:before="120" w:after="120" w:line="360" w:lineRule="auto"/>
        <w:ind w:firstLine="540"/>
        <w:jc w:val="both"/>
      </w:pPr>
      <w:r>
        <w:t xml:space="preserve">De outro lado, se o primeiro contato era desolador, as descobertas espanholas de ouro e prata em terras vizinhas eram promissoras, e o despertar dos novos Estado absolutistas europeus, descontentes com a partilha do mundo, impunha a ocupação. Uma ocupação que não poderia ser onerosa, mas adequada aos limitados recursos fiscais e financeiros da Coroa e do capital mercantil portugueses, já comprometidos com os negócios nas Índias Orientais e na África. </w:t>
      </w:r>
    </w:p>
    <w:p w:rsidR="00B10D19" w:rsidRDefault="00B10D19" w:rsidP="00B10D19">
      <w:pPr>
        <w:spacing w:before="120" w:after="120" w:line="360" w:lineRule="auto"/>
        <w:ind w:firstLine="540"/>
        <w:jc w:val="both"/>
      </w:pPr>
      <w:r>
        <w:t xml:space="preserve">A solução encontrada será a constituição em terras americanas de uma economia mercantil produtora de bens agrícolas coloniais (Furtado, 1984, cap. 1; Faoro, 1975, cap. 3). Um projeto que pode soar simples aos ouvidos globalizados de hoje, mas que, à época, comportava extrema complexidade. A consistência e sustentabilidade da equação montada por Portugal foi tamanha que ainda surpreende inúmeros analistas, merecendo, por isto, um tratamento acurado. </w:t>
      </w:r>
    </w:p>
    <w:p w:rsidR="00B10D19" w:rsidRDefault="00B10D19" w:rsidP="00B10D19">
      <w:pPr>
        <w:spacing w:before="120" w:after="120" w:line="360" w:lineRule="auto"/>
        <w:ind w:firstLine="540"/>
        <w:jc w:val="both"/>
      </w:pPr>
      <w:r>
        <w:t xml:space="preserve">Desde logo, a escolha da mercadoria a ser produzida envolve o enfrentamento de um grande problema: dada a extensão e qualidade das terras a ocupar, esta terá de ser uma mercadoria cuja </w:t>
      </w:r>
      <w:r>
        <w:rPr>
          <w:b/>
        </w:rPr>
        <w:t>demanda</w:t>
      </w:r>
      <w:r>
        <w:t xml:space="preserve"> </w:t>
      </w:r>
      <w:r>
        <w:rPr>
          <w:b/>
        </w:rPr>
        <w:t>previsível</w:t>
      </w:r>
      <w:r>
        <w:t xml:space="preserve"> cresça a uma velocidade tal que possa abarcar a elevação projetada da quantidade ofertada. E mais: terá de ser um produto cujas condições de produção e comercialização estejam (ao menos parcialmente) sob o domínio de Portugal, e não sejam de domínio de nações potencialmente competidoras. </w:t>
      </w:r>
    </w:p>
    <w:p w:rsidR="00B10D19" w:rsidRDefault="00B10D19" w:rsidP="00B10D19">
      <w:pPr>
        <w:spacing w:before="120" w:after="120" w:line="360" w:lineRule="auto"/>
        <w:ind w:firstLine="540"/>
        <w:jc w:val="both"/>
      </w:pPr>
      <w:r>
        <w:lastRenderedPageBreak/>
        <w:t>A cana-de-açúcar e seu derivado primeiro – o açúcar mascavo – foi o produto eleito. Em primeiro lugar, porque esta é uma “especiaria” de consumo particularmente amplo, e crescente Além disso, os portugueses já dominam sua técnica de produção a partir da experiência das ilhas atlânticas e podiam contar com a colaboração dos flamengos nos processos de refino final e distribuição do mesmo para o conjunto do mercado europeu. Faltaria definir apenas as condições de produção e comercialização, assim como os agentes sociais que controlariam estas distintas tarefas.</w:t>
      </w:r>
    </w:p>
    <w:p w:rsidR="00B10D19" w:rsidRDefault="00B10D19" w:rsidP="00B10D19">
      <w:pPr>
        <w:spacing w:before="120" w:after="120" w:line="360" w:lineRule="auto"/>
        <w:ind w:firstLine="540"/>
        <w:jc w:val="both"/>
      </w:pPr>
      <w:r>
        <w:t xml:space="preserve">A nova colônia não contava com agentes sociais autóctones aptos ao controle do processo produtivo. Logo, estes teriam de ser reinóis. Mais do que isto, teriam de ser homens de algum cabedal, capazes de financiar pelo menos parte do empreendimento sem onerar demasiadamente a Coroa e o capital mercantil, ambos ainda envolvidos com os negócios das Índias Orientais. De outro lado, não seria consistente com o projeto global do Antigo Sistema Colonial a constituição em terras americanas de estruturas produtivas controladas por agentes portadores de uma lógica especificamente burguesa de valorização e acumulação. Pelo contrário: os agentes internalizados no território com vistas a comandar o processo de produção mercantil deveriam ser suficientemente comprometidos com o </w:t>
      </w:r>
      <w:r>
        <w:rPr>
          <w:i/>
        </w:rPr>
        <w:t>status quo ante</w:t>
      </w:r>
      <w:r>
        <w:t xml:space="preserve"> e suficientemente fragilizados social e politicamente de forma a não se constituírem em obstáculos ao processo de apropriação pelo Estado e pela burguesia mercantil metropolitana dos excedentes produzidos na Colônia. O sujeito histórico adequado a este papel será encontrado fundamentalmente nos estratos intermediários e inferiores da velha nobreza terratenente portuguesa. </w:t>
      </w:r>
    </w:p>
    <w:p w:rsidR="00B10D19" w:rsidRDefault="00B10D19" w:rsidP="00B10D19">
      <w:pPr>
        <w:spacing w:before="120" w:after="120" w:line="360" w:lineRule="auto"/>
        <w:ind w:firstLine="540"/>
        <w:jc w:val="both"/>
      </w:pPr>
      <w:r>
        <w:t xml:space="preserve">É evidente que não se poderá deixar de assegurar uma apropriação mínima de rendimentos a esses colonos, ou não haveria estímulo necessário à sustentação do fluxo migratório. Porém, a estrutura da economia será de tal sorte a impedir que mesmo a parcela do excedente de fato apropriada pelos agentes internos à colônia seja de monta a perturbar a lucratividade do capital mercantil e a sustentação das ambições do Estado. Assim é que se, num primeiro momento, </w:t>
      </w:r>
    </w:p>
    <w:p w:rsidR="00B10D19" w:rsidRDefault="00B10D19" w:rsidP="00B10D19">
      <w:pPr>
        <w:pStyle w:val="Recuodecorpodetexto"/>
        <w:spacing w:line="240" w:lineRule="auto"/>
        <w:ind w:left="708" w:firstLine="0"/>
      </w:pPr>
      <w:r>
        <w:t xml:space="preserve">“... a agricultura, o comércio e a indústria [serão] livres aos colonos, .... [o serão] dentro de um campo rigidamente fixado, </w:t>
      </w:r>
      <w:r w:rsidRPr="00D85970">
        <w:rPr>
          <w:b/>
          <w:bCs/>
        </w:rPr>
        <w:t>com exclusão das</w:t>
      </w:r>
      <w:r>
        <w:t xml:space="preserve"> </w:t>
      </w:r>
      <w:r w:rsidRPr="00D85970">
        <w:rPr>
          <w:b/>
          <w:bCs/>
        </w:rPr>
        <w:t>moendas e enge</w:t>
      </w:r>
      <w:r>
        <w:t xml:space="preserve">nhos, bem como dos monopólios reais, como o </w:t>
      </w:r>
      <w:r w:rsidRPr="00D85970">
        <w:rPr>
          <w:b/>
          <w:bCs/>
        </w:rPr>
        <w:t>pau-brasil, escravos, especiarias e drogas</w:t>
      </w:r>
      <w:r>
        <w:t xml:space="preserve">, expressa, desde logo, a reserva do quinto ... [sobre os] metais e pedras preciosas” (Faoro, 1975, p.118; os grifos são meus). </w:t>
      </w:r>
    </w:p>
    <w:p w:rsidR="00B10D19" w:rsidRDefault="00B10D19" w:rsidP="00B10D19">
      <w:pPr>
        <w:spacing w:before="120" w:after="120" w:line="360" w:lineRule="auto"/>
        <w:ind w:firstLine="540"/>
        <w:jc w:val="both"/>
      </w:pPr>
      <w:r>
        <w:t xml:space="preserve">Vale dizer, a liberdade de ação econômica é geral .... excetuados os setores efetivamente lucrativos. Da regulação do processo de exploração desses setores em geral </w:t>
      </w:r>
      <w:r>
        <w:lastRenderedPageBreak/>
        <w:t xml:space="preserve">(e do tráfico de escravos em particular, como veremos adiante) advirá a capacidade do Estado para administrar a distribuição do excedente entre os agentes sociais relevantes. </w:t>
      </w:r>
    </w:p>
    <w:p w:rsidR="00B10D19" w:rsidRDefault="00B10D19" w:rsidP="00B10D19">
      <w:pPr>
        <w:spacing w:before="120" w:after="120" w:line="360" w:lineRule="auto"/>
        <w:ind w:firstLine="540"/>
        <w:jc w:val="both"/>
      </w:pPr>
      <w:r>
        <w:t>Desde logo, o processo de distribuição de terras, que dará origem ao secular latifúndio nacional, será definido tendo em vista a lógica maior de garantir as condições de espoliação colonial. Mais do que estimular a emigração das frações empobrecidas da baixa nobreza reinol e mais do que estimular o aproveitamento das terras para a produção de bens exportáveis (e não para a mera subsistência), a “dadivosidade” no processo de distribuição de terras ampliava o excedente exportável e comprometia o colono</w:t>
      </w:r>
      <w:r>
        <w:rPr>
          <w:rStyle w:val="Refdenotaderodap"/>
          <w:rFonts w:cs="Arial"/>
        </w:rPr>
        <w:footnoteReference w:id="12"/>
      </w:r>
      <w:r>
        <w:t xml:space="preserve"> com a sustentação do </w:t>
      </w:r>
      <w:r>
        <w:rPr>
          <w:i/>
        </w:rPr>
        <w:t xml:space="preserve">status quo. </w:t>
      </w:r>
      <w:r>
        <w:t xml:space="preserve">De um lado porque, ao minimizar-se o número de proprietários, minimizava-se, simultaneamente o número de agentes internos aptos a exigir um padrão mínimo de reprodução e qualidade de vida para se manter como produtores na América, redundando na ampliação da parcela do excedente exportável e apropriável pelos agentes metropolitanos. Mas o ponto realmente nevrálgico do processo de doação de terras é que o mesmo se dava dentro do estatuto das Sesmarias; vale dizer: </w:t>
      </w:r>
      <w:r>
        <w:rPr>
          <w:b/>
        </w:rPr>
        <w:t>as terras doadas aos colonos não eram de propriedade rigorosamente privada, mas passíveis de resgate pela Coroa caso não fossem integralmente cultivadas</w:t>
      </w:r>
      <w:r>
        <w:t xml:space="preserve">. </w:t>
      </w:r>
    </w:p>
    <w:p w:rsidR="00B10D19" w:rsidRDefault="00B10D19" w:rsidP="00B10D19">
      <w:pPr>
        <w:spacing w:before="120" w:after="120" w:line="360" w:lineRule="auto"/>
        <w:ind w:firstLine="540"/>
        <w:jc w:val="both"/>
      </w:pPr>
      <w:r>
        <w:t xml:space="preserve">Ora, esta é uma imposição impossível de ser cumprida. Afinal, dadas as grandes dimensões das terras doadas, a plena utilização das mesmas era incompatível com as disponibilidades dos demais recursos (mormente, de mão-de-obra escrava) e com as circunscrições de demanda externa para os produtos coloniais. Na verdade, não é do interesse da Coroa e do capital mercantil português que a regra se cumpra. Não gratuitamente, não são desenvolvidas quaisquer políticas no sentido de conquistar sua implementação. De forma, que </w:t>
      </w:r>
      <w:r w:rsidRPr="00694F1A">
        <w:rPr>
          <w:b/>
          <w:bCs/>
        </w:rPr>
        <w:t>virtualmente todo o proprietário – ou melhor, todo o “sesmeiro” – em terras americanas se transformava em um transgressor da le</w:t>
      </w:r>
      <w:r>
        <w:t>i. E o desdobramento político desta transgressão universal e consentida era que qualquer manifestação de descontentamento, desconforto e/ou oposição por parte dos colonos poderia redundar em retaliações severas – a expropriação da propriedade - realizadas rigorosamente dentro da lei</w:t>
      </w:r>
      <w:r>
        <w:rPr>
          <w:rStyle w:val="Refdenotaderodap"/>
          <w:rFonts w:cs="Arial"/>
        </w:rPr>
        <w:footnoteReference w:id="13"/>
      </w:r>
      <w:r>
        <w:t>.</w:t>
      </w:r>
    </w:p>
    <w:p w:rsidR="00B10D19" w:rsidRDefault="00B10D19" w:rsidP="00B10D19">
      <w:pPr>
        <w:spacing w:before="120" w:after="120" w:line="360" w:lineRule="auto"/>
        <w:ind w:firstLine="540"/>
        <w:jc w:val="both"/>
      </w:pPr>
      <w:r>
        <w:lastRenderedPageBreak/>
        <w:t xml:space="preserve">Idêntico sentido terá o escravismo. A produção empresarial (no mais amplo sentido do termo, não necessariamente capitalista) em larga escala de bens agrícolas só pode ser levada a cabo sob o regime de assalariamento ou de escravidão. Destas alternativas, a primeira não se mostra viável no período da construção da Colônia-Brasil, seja pela a inexistência na Europa de então de um mercado de mão-de-obra, seja pelo fato de que, dada a abundância de terras livres no </w:t>
      </w:r>
      <w:r>
        <w:rPr>
          <w:i/>
        </w:rPr>
        <w:t xml:space="preserve">hinterland, </w:t>
      </w:r>
      <w:r>
        <w:t>apropriáveis por homens livres para a produção de subsistência, a taxa de salário teria de ser tão elevada que inviabilizaria a empresa colonial</w:t>
      </w:r>
      <w:r>
        <w:rPr>
          <w:rStyle w:val="Refdenotaderodap"/>
        </w:rPr>
        <w:footnoteReference w:id="14"/>
      </w:r>
      <w:r>
        <w:t>. O escravismo, ao deprimir os custos de reprodução da mão-de-obra, viabilizava a depressão da parcela dos rendimentos que seria internalizada. Vale dizer: o escravismo era a relação social de produção que permitia a compatibilização dos interesses contraditórios de colonos (proprietários rurais da colônia) e colonizadores (Coroa e capital mercantil portugueses), às custas dos colonizados (produtores diretos da colônia).</w:t>
      </w:r>
    </w:p>
    <w:p w:rsidR="00B10D19" w:rsidRDefault="00B10D19" w:rsidP="00B10D19">
      <w:pPr>
        <w:spacing w:before="120" w:after="120" w:line="360" w:lineRule="auto"/>
        <w:ind w:firstLine="540"/>
        <w:jc w:val="both"/>
      </w:pPr>
      <w:r>
        <w:t xml:space="preserve">Por fim, a última grande opção estratégica a fazer: escravizar o indígena ou o africano? A favor da primeira possibilidade estaria o tornar dispensável um oneroso transporte marítimo. Contra a mesma encontrava-se a oferta potencial relativamente menor de mão-de-obra indígena, em especial pela ausência de uma estrutura de apresamento, comercialização e transporte (já montada para a escravização do africano). A opção será feita pela segunda alternativa. Mas, ao contrário do que se poderia pensar (de uma perspectiva burguesa anacrônica), o fator determinante desta opção não é o seu menor custo relativo, mas a necessidade de evitar a internalização do excedente colonial e garantir o processo de valorização do capital mercantil metropolitano: </w:t>
      </w:r>
      <w:r>
        <w:rPr>
          <w:b/>
        </w:rPr>
        <w:t>ao contrário da escravização do indígena, que induziria à constituição de um segmento interno</w:t>
      </w:r>
      <w:r>
        <w:rPr>
          <w:b/>
          <w:i/>
        </w:rPr>
        <w:t xml:space="preserve"> </w:t>
      </w:r>
      <w:r>
        <w:rPr>
          <w:b/>
        </w:rPr>
        <w:t>de fornecedores de "insumos básicos", a escravização do africano garantia aos reinóis o monopólio de um negócio tão lucrativo</w:t>
      </w:r>
      <w:r>
        <w:t xml:space="preserve">. Com o controle sobre o mercado de escravos, o capital mercantil metropolitano poderá controlar as duas pontas do processo de comercialização, a ponta da compra dos produtos coloniais e a da venda do principal “insumo” de produção (bem como das demais mercadorias cuja produção será desestimulada ou proibida) na colônia. </w:t>
      </w:r>
    </w:p>
    <w:p w:rsidR="00B10D19" w:rsidRDefault="00B10D19" w:rsidP="00B10D19">
      <w:pPr>
        <w:spacing w:before="120" w:after="120" w:line="360" w:lineRule="auto"/>
        <w:ind w:firstLine="540"/>
        <w:jc w:val="both"/>
        <w:rPr>
          <w:i/>
        </w:rPr>
      </w:pPr>
      <w:r>
        <w:t xml:space="preserve">Como forma de garantir a prevalência do tráfico africano, </w:t>
      </w:r>
      <w:r w:rsidRPr="00694F1A">
        <w:rPr>
          <w:b/>
          <w:bCs/>
        </w:rPr>
        <w:t>será proibida a escravização</w:t>
      </w:r>
      <w:r>
        <w:t xml:space="preserve"> </w:t>
      </w:r>
      <w:r w:rsidRPr="00694F1A">
        <w:rPr>
          <w:b/>
          <w:bCs/>
        </w:rPr>
        <w:t>do indígena</w:t>
      </w:r>
      <w:r>
        <w:t xml:space="preserve">; atendendo-se, simultaneamente, a uma reivindicação do </w:t>
      </w:r>
      <w:r>
        <w:lastRenderedPageBreak/>
        <w:t xml:space="preserve">clero, que será o agente fiscalizador e garantidor do cumprimento da lei. De quebra, com este movimento, a Coroa consolidava um apoio importante na ocupação do </w:t>
      </w:r>
      <w:r>
        <w:rPr>
          <w:i/>
        </w:rPr>
        <w:t>hinterland</w:t>
      </w:r>
      <w:r>
        <w:t xml:space="preserve"> e na aculturação, domesticação e aldeamento dos indígenas. </w:t>
      </w:r>
      <w:r>
        <w:rPr>
          <w:i/>
        </w:rPr>
        <w:t xml:space="preserve"> </w:t>
      </w:r>
    </w:p>
    <w:p w:rsidR="00B10D19" w:rsidRDefault="00B10D19" w:rsidP="00B10D19">
      <w:pPr>
        <w:spacing w:before="120" w:after="120" w:line="360" w:lineRule="auto"/>
        <w:ind w:firstLine="540"/>
        <w:jc w:val="both"/>
      </w:pPr>
      <w:r>
        <w:t xml:space="preserve">Não obstante, tal como a obrigatoriedade de cultivar toda a área da Sesmaria concedida, a proibição da escravização do indígena se impunha com a “flexibilidade” que caracterizará o conjunto da legislação lusa em terras americanas. O próprio aldeamento missionário comportava elementos de violência. Além disso, abriam-se exceções à proibição para grupos indígenas “hostis e violentos”. E, por fim, abria-se espaço para que colonos não ligados ao clero colaborassem com o processo de “aldeamento e civilização” do aborígene. </w:t>
      </w:r>
    </w:p>
    <w:p w:rsidR="00B10D19" w:rsidRDefault="00B10D19" w:rsidP="00B10D19">
      <w:pPr>
        <w:spacing w:before="120" w:after="120" w:line="360" w:lineRule="auto"/>
        <w:ind w:firstLine="540"/>
        <w:jc w:val="both"/>
      </w:pPr>
      <w:r>
        <w:t xml:space="preserve">O sentido desta ampla flexibilidade não é mistério. Dados os estreitos limites do mercado europeu nos séculos XVI e XVII, a colonização mercantil da ampla faixa litorânea do território brasileiro não poderia ser assegurada através do estímulo à produção generalizada da cana e do açúcar. E o ingresso em outras atividades não garantia a rentabilidade necessária para pagar os altos preços dos escravos africanos. Além disso, era necessário estimular e garantir a reprodução econômica dos núcleos bandeirantes, envolvidos na busca de metais preciosos e na ampliação do território. </w:t>
      </w:r>
    </w:p>
    <w:p w:rsidR="00B10D19" w:rsidRDefault="00B10D19" w:rsidP="00B10D19">
      <w:pPr>
        <w:spacing w:before="120" w:after="120" w:line="360" w:lineRule="auto"/>
        <w:ind w:firstLine="540"/>
        <w:jc w:val="both"/>
      </w:pPr>
      <w:r>
        <w:t xml:space="preserve">A solução encontrada para equacionar estas demandas contraditórias da Metrópole será a usual: </w:t>
      </w:r>
      <w:r w:rsidRPr="00694F1A">
        <w:rPr>
          <w:b/>
          <w:bCs/>
        </w:rPr>
        <w:t>legislar e proibir o máximo possível; fiscalizar apenas quando conveniente; e punir tão somente os que ousam se insubordinar contra a ordem mais geral.</w:t>
      </w:r>
      <w:r>
        <w:t xml:space="preserve"> Impor-se-á, assim, uma hierarquia territorial e econômica da escravidão, em que a ampla periferia colonial – onde se incluem São Paulo e o extremo sul, de um lado, e o Maranhão e seu entorno, de outro – estruturará sua produção com base na escravização do indígena; enquanto os territórios dedicados à produção das principais mercadorias de exportação – Pernambuco e Bahia, no ciclo do açúcar; Minas Geraes e Rio de Janeiro, no ciclo do ouro – se subordinarão ao padrão legal, que circunscreve a escravidão ao africano e seus descendentes. Vale dizer: naqueles núcleos em que a produção de excedente é significativa, havendo espaço para uma substancial transferência do mesmo para a Metrópole, a escravidão será alimentada pelo tráfico, com </w:t>
      </w:r>
    </w:p>
    <w:p w:rsidR="00B10D19" w:rsidRDefault="00B10D19" w:rsidP="00B10D19">
      <w:pPr>
        <w:spacing w:before="120" w:after="120"/>
        <w:ind w:left="708"/>
        <w:jc w:val="both"/>
      </w:pPr>
      <w:r>
        <w:t>“... os negreiros tratando de montar uma relativa escassez no mercado ... [de tal forma a forçar que] os preços a que os escravos são vendidos [sejam], em regra, ‘excessivos’ para os senhores de engenho menos eficientes, e vantajosos (sic) para os proprietários dos engenhos de maior produtividade” (Castro, 1976, p.21-2).</w:t>
      </w:r>
    </w:p>
    <w:p w:rsidR="00B10D19" w:rsidRDefault="00B10D19" w:rsidP="00B10D19">
      <w:pPr>
        <w:spacing w:before="120" w:after="120"/>
        <w:ind w:left="708"/>
        <w:jc w:val="both"/>
      </w:pPr>
    </w:p>
    <w:p w:rsidR="00B10D19" w:rsidRDefault="00B10D19" w:rsidP="00B10D19">
      <w:pPr>
        <w:spacing w:before="120" w:after="120" w:line="360" w:lineRule="auto"/>
        <w:ind w:firstLine="540"/>
        <w:jc w:val="both"/>
      </w:pPr>
      <w:r>
        <w:lastRenderedPageBreak/>
        <w:t>Montado o esquema, a lucratividade do negócio mercantil-colonial estava garantida. Uma lucratividade que não passou despercebida a Furtado. Segundo este autor, “a indústria açucareira era suficientemente rentável para auto financiar uma duplicação de sua capacidade produtiva a cada dois anos” (Furtado, 1984, p. 46). O fato de que o ritmo de crescimento só tenha sido este nos anos mais favoráveis sugere a Furtado que era da “etapa de comercialização que se tomavam as decisões fundamentais com respeito a todo o negócio açucareiro”. E perguntando-se a respeito do destino do excedente não alocado na acumulação interna, Furtado se vê constrangido a concluir que “parte substancial dos capitais aplicados na produção açucareira pertencesse aos comerciantes”, com o que “... uma parte da renda ….que atribuímos à classe de proprietários de engenhos e de canaviais seria o que modernamente se chama de renda não-residentes, e permaneceria fora da colônia” (Furtado, 1984, p.46)</w:t>
      </w:r>
      <w:r>
        <w:rPr>
          <w:rStyle w:val="Refdenotaderodap"/>
        </w:rPr>
        <w:t xml:space="preserve"> </w:t>
      </w:r>
      <w:r>
        <w:rPr>
          <w:rStyle w:val="Refdenotaderodap"/>
        </w:rPr>
        <w:footnoteReference w:id="15"/>
      </w:r>
      <w:r>
        <w:t>.</w:t>
      </w:r>
    </w:p>
    <w:p w:rsidR="00B10D19" w:rsidRDefault="00B10D19" w:rsidP="00B10D19">
      <w:pPr>
        <w:spacing w:before="120" w:after="120" w:line="360" w:lineRule="auto"/>
        <w:ind w:firstLine="540"/>
        <w:jc w:val="both"/>
      </w:pPr>
      <w:r>
        <w:t>Não obstante sua lucratividade inicial, a economia colonial açucareira já apresentará os primeiros sinais de esgotamento em meados do século XVII. Sinais dos tempos, marcados, de um lado, pela emergência de novas potências coloniais (Holanda, Inglaterra e França) que rompem com o monopólio açucareiro português, e, de outro, pela decadência econômica de Portugal. A perda do monopólio sobre a produção e as rotas de comércio do açúcar nas Índias Ocidentais, lado a lado com a sustentação de uma estrutura estatal custosa e já inadequada aos emergentes tempos burgueses, determinará a perda de competitividade do principal produto da colônia americana. Contraditoriamente, a crise imporá mais exigências sobre aquela que – após a rápida perda de controle das rotas orientais – se transformará na grande “vaca leiteira” do já então decadente império colonial português. A excessiva tributação daí derivada recairá fundamentalmente sobre o produtor, impedindo a incorporação por parte deste dos mais recentes desenvolvimentos técnicos no cultivo e refino do açúcar; afastada a hipótese de financiamento, em parte pela limitação das fontes, em parte pela baixa rentabilidade prospectiva do negócio. Entra-se assim num círculo vicioso que conduzirá à grande crise manifesta ao findar o século XVII.</w:t>
      </w:r>
    </w:p>
    <w:p w:rsidR="00B10D19" w:rsidRDefault="00B10D19" w:rsidP="00B10D19">
      <w:pPr>
        <w:spacing w:before="120" w:after="120" w:line="360" w:lineRule="auto"/>
        <w:ind w:firstLine="540"/>
        <w:jc w:val="both"/>
      </w:pPr>
      <w:r>
        <w:t xml:space="preserve">As conseqüências da crise econômica açucareira só não foram maiores para o reino e sua colônia em função da providencial descoberta das minas de ouro nas primeiras décadas do século seguinte. Não nos interessa, contudo, entrar em detalhes sobre o novo </w:t>
      </w:r>
      <w:r>
        <w:lastRenderedPageBreak/>
        <w:t xml:space="preserve">ciclo econômico; que apenas dará sobrevida a uma construção cujas fissuras e rachaduras já eram evidentes. Até porque esta será uma riqueza relativamente fugaz, explorada e depauperada nos mesmos moldes da riqueza haurida da exploração açucareira. E nem poderia ser diferente: as regras do Antigo Sistema Colonial são claras, e em sua versão portuguesa (especificamente patrimonialista) são draconianas: o excedente deve ser maximizado e exportado. Seus proprietários efetivos são a Coroa e o capital mercantil metropolitano. Os agentes internos – os colonos e os colonizados – não são mais do que instrumentos necessários da espoliação colonial. </w:t>
      </w:r>
    </w:p>
    <w:p w:rsidR="00B10D19" w:rsidRDefault="00B10D19" w:rsidP="00B10D19">
      <w:pPr>
        <w:spacing w:before="120" w:after="120" w:line="360" w:lineRule="auto"/>
        <w:ind w:firstLine="540"/>
        <w:jc w:val="both"/>
      </w:pPr>
      <w:r>
        <w:t xml:space="preserve">É bem verdade que, à diferença do açúcar, o ciclo do ouro alimentará uma monetização e uma integração mercantil da colônia desconhecida até então. As Geraes (que se estenderão até Goiás e Cuiabá) vão comprar mulas do Rio Grande do Sul, víveres diversos de São Paulo e carne de sol do Piauí e do Ceará; vão impor o deslocamento do centro administrativo da colônia para o Rio de Janeiro, integrando a região sudeste, até então periférica; vão atrair um volume de imigrantes (mineradores, faiscadores, comerciantes, funcionários públicos, militares, etc) que complexificarão e diversificarão sobremaneira as relações sociais internas; e vão dar as bases para a emergência de uma população negra e mulata livre (através da compra da liberdade que é possibilitada pelo roubo de parte do ouro faiscado) que, em conjunto com os imigrantes pobres atraídos pelas Minas, darão as bases (insuficientes, mas necessárias) para a constituição de um mercado de trabalho não-escravo na colônia (e, depois, Império do) Brasil. Além disso, seu próprio produto – o ouro (ao contrário do açúcar) -, pode ser objeto de entesouramento/acumulação. Ele não tem que ser “processado e negociado” para se transformar em poder de compra universal: ele </w:t>
      </w:r>
      <w:r>
        <w:rPr>
          <w:b/>
          <w:bCs/>
        </w:rPr>
        <w:t>é</w:t>
      </w:r>
      <w:r>
        <w:t xml:space="preserve"> este poder. De forma que ele pode ser (e, de fato, o foi) entesourado pelos mineradores que procuravam se evadir ao quinto (percentagem d’El Rey sobre o produto das minas), e que apostavam na diversificação de suas atividades quando da exaustão dos veios auríferos. </w:t>
      </w:r>
    </w:p>
    <w:p w:rsidR="00B10D19" w:rsidRDefault="00B10D19" w:rsidP="00B10D19">
      <w:pPr>
        <w:pStyle w:val="Recuodecorpodetexto2"/>
      </w:pPr>
      <w:r>
        <w:t xml:space="preserve">Mas nenhum destes desdobramentos secundários da mineração era suficientemente potente para, por si mesmos, determinar uma revolução na lógica espoliativa do sistema colonial. Na realidade, a contribuição propulsiva do ciclo do ouro advém, menos das dimensões (reais e importantes, mas marcadamente insuficientes) anunciadas acima, mas de suas conseqüências para o aprofundamento do parasitismo português sobre a Colônia Brasil. Ainda que relativamente fugaz, o ciclo aurífero brasileiro foi suficientemente perene para permitir que Portugal usufruísse ao longo do </w:t>
      </w:r>
      <w:r>
        <w:lastRenderedPageBreak/>
        <w:t xml:space="preserve">século XVIII de uma posição cambial relativamente privilegiada; o que levaria à desestruturação do seu frágil sistema artesanal e manufatureiro no século da primeira revolução industrial. Na realidade, o ciclo aurífero permitiu que Portugal aprofundasse sua dependência da Colônia Brasil ao longo do século XVIII, num processo que vai resultar na subversão dialética da relação Metrópole-Senhor / Colônia-Servo. </w:t>
      </w:r>
    </w:p>
    <w:p w:rsidR="00B10D19" w:rsidRDefault="00B10D19" w:rsidP="00B10D19">
      <w:pPr>
        <w:spacing w:before="120" w:after="120" w:line="360" w:lineRule="auto"/>
        <w:ind w:firstLine="540"/>
        <w:jc w:val="both"/>
      </w:pPr>
      <w:r>
        <w:t>Assim, na crise do ciclo aurífero, no último quartel do século XVIII, o quadro será de desolação e decadência. Portugal e sua principal colônia assistem como que pasmados à eclosão das revoluções irmãs – a industrial e a burguesa – na Europa e nos Estados Unidos. Malgrado os esforços iniciais da Coroa portuguesa para se manter neutra nos conflitos abertos pela Revolução da Independência Americana e pela Revolução Francesa, este país não conseguirá se beneficiar do novo dinamismo do comércio mundial</w:t>
      </w:r>
      <w:r>
        <w:rPr>
          <w:rStyle w:val="Refdenotaderodap"/>
        </w:rPr>
        <w:footnoteReference w:id="16"/>
      </w:r>
      <w:r>
        <w:t xml:space="preserve">. </w:t>
      </w:r>
    </w:p>
    <w:p w:rsidR="00B10D19" w:rsidRDefault="00B10D19" w:rsidP="00B10D19">
      <w:pPr>
        <w:spacing w:before="120" w:after="120" w:line="360" w:lineRule="auto"/>
        <w:ind w:firstLine="540"/>
        <w:jc w:val="both"/>
      </w:pPr>
      <w:r>
        <w:t xml:space="preserve">E se não há potência para articular um novo engate à dinâmica economia mundial, só resta a autarquização e o isolamento da antiga empresa agrícola, cada vez mais voltada à produção de subsistência (veja-se Furtado, 1984, cap. 15). Este é, afinal de contas, o preço da equação latifundiária e escravista: a crônica circunscrição do mercado interno. A escravidão não apenas enrijece o sistema e circunscreve o espaço para exercícios de inovação e diversificação mercantil em períodos de crise: ela impõe a rápida transição para a produção de subsistência sob pena de faltarem recursos para a alimentação e reprodução da escravaria. E a consequência deste movimento defensivo – em que a mandioca e o boi avançam sobre a área da cana, e a roca e o tear ocupam parte do tempo antes destinado à produção de açúcar – é a rápida retração das relações de intercâmbio internas. Assim, a divisão interregional do trabalho no período colonial, que atingira o seu ápice em meados do século XVIII, sofre um forte e rápido retrocesso com o esgotamento do ciclo do ouro. </w:t>
      </w:r>
    </w:p>
    <w:p w:rsidR="00B10D19" w:rsidRDefault="00B10D19" w:rsidP="00B10D19">
      <w:pPr>
        <w:spacing w:before="120" w:after="120" w:line="360" w:lineRule="auto"/>
        <w:ind w:firstLine="540"/>
        <w:jc w:val="both"/>
      </w:pPr>
      <w:r>
        <w:t xml:space="preserve">A apatia econômica resultante não levará, contudo, à apatia histórica. O impulso fundamental – mas não exclusivo! – virá mais uma vez de fora: a Revolução Industrial </w:t>
      </w:r>
      <w:r>
        <w:lastRenderedPageBreak/>
        <w:t xml:space="preserve">porá por terra os Antigos Regimes da Europa, e, junto com estes, o Antigo Sistema Colonial (Mello, 1982, pp. 44 e segs). </w:t>
      </w:r>
    </w:p>
    <w:p w:rsidR="00B10D19" w:rsidRDefault="00B10D19" w:rsidP="00B10D19">
      <w:pPr>
        <w:spacing w:before="120" w:after="120" w:line="360" w:lineRule="auto"/>
        <w:ind w:firstLine="540"/>
        <w:jc w:val="both"/>
      </w:pPr>
      <w:r>
        <w:t xml:space="preserve">O que se seguirá, porém, não poderá apagar as marcas deixadas pelo passado colonial e por seus últimos anos de decadência. Pelo contrário: o padrão brasileiro de transição para a sociedade nacional – absolutamente único na América, porquanto patrocinado pela própria casa reinante na Metrópole – é a expressão superior da força do passado. No caso de Portugal, </w:t>
      </w:r>
      <w:r w:rsidRPr="00393245">
        <w:rPr>
          <w:b/>
          <w:bCs/>
        </w:rPr>
        <w:t>a prevalência do Estado sobre a Nação</w:t>
      </w:r>
      <w:r>
        <w:t xml:space="preserve"> assumiu proporções tais, e a subversão dialética da relação Metrópole-Senhor / Colônia-Servo foi levada tão longe que, quando a primeira é objeto de agressão externa, </w:t>
      </w:r>
      <w:r w:rsidRPr="00393245">
        <w:rPr>
          <w:b/>
          <w:bCs/>
        </w:rPr>
        <w:t>o Estado a abandona</w:t>
      </w:r>
      <w:r>
        <w:t xml:space="preserve"> e transmigra para a (a partir de então ex-) Colônia. As conseqüências deste padrão de autonomização serão exploradas no próximo capítulo, dedicado à análise da Sociedade Escravista Nacional. </w:t>
      </w:r>
    </w:p>
    <w:p w:rsidR="00B10D19" w:rsidRPr="009F3E4E" w:rsidRDefault="00B10D19" w:rsidP="00B10D19">
      <w:pPr>
        <w:jc w:val="center"/>
        <w:rPr>
          <w:sz w:val="28"/>
          <w:szCs w:val="28"/>
        </w:rPr>
      </w:pPr>
      <w:r>
        <w:br w:type="page"/>
      </w:r>
      <w:r w:rsidRPr="009F3E4E">
        <w:rPr>
          <w:b/>
          <w:sz w:val="28"/>
          <w:szCs w:val="28"/>
        </w:rPr>
        <w:lastRenderedPageBreak/>
        <w:t>Capítulo 15. Da Independência à República: constituição, dinâmica e crise da economia escravista nacional</w:t>
      </w:r>
    </w:p>
    <w:p w:rsidR="00B10D19" w:rsidRDefault="00B10D19" w:rsidP="00B10D19">
      <w:pPr>
        <w:spacing w:line="360" w:lineRule="auto"/>
        <w:ind w:firstLine="539"/>
        <w:jc w:val="right"/>
        <w:rPr>
          <w:bCs/>
          <w:i/>
        </w:rPr>
      </w:pPr>
    </w:p>
    <w:p w:rsidR="00B10D19" w:rsidRDefault="00B10D19" w:rsidP="00B10D19">
      <w:pPr>
        <w:spacing w:line="360" w:lineRule="auto"/>
        <w:ind w:firstLine="539"/>
        <w:jc w:val="right"/>
        <w:rPr>
          <w:bCs/>
          <w:i/>
        </w:rPr>
      </w:pPr>
    </w:p>
    <w:p w:rsidR="00B10D19" w:rsidRDefault="00B10D19" w:rsidP="00B10D19">
      <w:pPr>
        <w:ind w:left="3960" w:firstLine="539"/>
        <w:jc w:val="right"/>
        <w:rPr>
          <w:bCs/>
          <w:i/>
        </w:rPr>
      </w:pPr>
      <w:r>
        <w:rPr>
          <w:bCs/>
          <w:i/>
        </w:rPr>
        <w:t>A Independência, não obstante a forma</w:t>
      </w:r>
    </w:p>
    <w:p w:rsidR="00B10D19" w:rsidRDefault="00B10D19" w:rsidP="00B10D19">
      <w:pPr>
        <w:ind w:left="3960" w:firstLine="539"/>
        <w:jc w:val="right"/>
        <w:rPr>
          <w:bCs/>
          <w:i/>
        </w:rPr>
      </w:pPr>
      <w:r>
        <w:rPr>
          <w:bCs/>
          <w:i/>
        </w:rPr>
        <w:t>em que se desenrolou, constitui a primeira</w:t>
      </w:r>
    </w:p>
    <w:p w:rsidR="00B10D19" w:rsidRDefault="00B10D19" w:rsidP="00B10D19">
      <w:pPr>
        <w:ind w:left="3960" w:firstLine="539"/>
        <w:jc w:val="right"/>
        <w:rPr>
          <w:bCs/>
          <w:i/>
        </w:rPr>
      </w:pPr>
      <w:r>
        <w:rPr>
          <w:bCs/>
          <w:i/>
        </w:rPr>
        <w:t>grande revolução social que se operou no Brasil.</w:t>
      </w:r>
    </w:p>
    <w:p w:rsidR="00B10D19" w:rsidRDefault="00B10D19" w:rsidP="00B10D19">
      <w:pPr>
        <w:spacing w:line="360" w:lineRule="auto"/>
        <w:ind w:firstLine="539"/>
        <w:jc w:val="right"/>
        <w:rPr>
          <w:b/>
          <w:bCs/>
        </w:rPr>
      </w:pPr>
      <w:r>
        <w:rPr>
          <w:b/>
          <w:bCs/>
        </w:rPr>
        <w:t>Florestan Fernandes</w:t>
      </w:r>
      <w:r>
        <w:rPr>
          <w:bCs/>
        </w:rPr>
        <w:t xml:space="preserve">, </w:t>
      </w:r>
      <w:r w:rsidRPr="003A0055">
        <w:rPr>
          <w:bCs/>
        </w:rPr>
        <w:t>A Revolução Burguesa no Brasil</w:t>
      </w:r>
    </w:p>
    <w:p w:rsidR="00B10D19" w:rsidRDefault="00B10D19" w:rsidP="00B10D19">
      <w:pPr>
        <w:spacing w:line="360" w:lineRule="auto"/>
        <w:ind w:firstLine="539"/>
        <w:jc w:val="right"/>
        <w:rPr>
          <w:bCs/>
          <w:i/>
        </w:rPr>
      </w:pPr>
    </w:p>
    <w:p w:rsidR="00B10D19" w:rsidRDefault="00B10D19" w:rsidP="00B10D19">
      <w:pPr>
        <w:spacing w:before="120" w:after="120" w:line="360" w:lineRule="auto"/>
        <w:ind w:firstLine="540"/>
        <w:jc w:val="both"/>
      </w:pPr>
      <w:r>
        <w:t xml:space="preserve">A Revolução Industrial é o marco da plena constituição do Modo Capitalista de Produção. A significativa elevação da produtividade do trabalho, associada à subordinação do trabalho vivo à máquina e à multiplicação do exército industrial de reserva, permitirá ao capital “andar com as próprias pernas”, tornando desnecessária a sustentação da valorização pelo Estado através das políticas mercantilistas. A partir de então, o protecionismo – representado na sustentação de monopólios legais e exclusivos metropolitanos – passa a ser percebido apenas como fonte e expressão de má alocação dos recursos escassos e da elevação dos custos de produção das indústrias nacionais. A palavra de ordem do período é </w:t>
      </w:r>
      <w:r>
        <w:rPr>
          <w:i/>
          <w:iCs/>
        </w:rPr>
        <w:t>laissez-faire</w:t>
      </w:r>
      <w:r>
        <w:t>. De Quesnay a Smith, todas as inteligências se unem na defesa da livre concorrência, potencialmente saneadora dos mercados, ao permitir a sobrevivência tão-somente dos mais capazes. A Revolução Francesa e as guerras napoleônicas serão o ponto alto desse processo. No bojo do mesmo, Inglaterra e França lutarão, não por princípios distintos, mas pela hegemonia da Europa. Finda a guerra – em que à França coube a parte suja do serviço, e à Inglaterra os louros da vitória–, os Antigos Regimes e seus impérios coloniais estavam definitivamente soterrados. Uma nova era se iniciava.</w:t>
      </w:r>
    </w:p>
    <w:p w:rsidR="00B10D19" w:rsidRDefault="00B10D19" w:rsidP="00B10D19">
      <w:pPr>
        <w:spacing w:before="120" w:after="120" w:line="360" w:lineRule="auto"/>
        <w:ind w:firstLine="540"/>
        <w:jc w:val="both"/>
      </w:pPr>
      <w:r>
        <w:t xml:space="preserve">Mas se a transição se impõe a todos os participantes do mundo europeizado do período (do qual faz parte o Novo Mundo, a América), as demais nações não são meras expectadoras da disputa anglo-francesa pela hegemonia. Mesmo o empobrecido Portugal e sua decadente colônia americana não são meras vítimas deste processo. Enquanto a guerra não chegava a suas fronteiras, Portugal lutava por manter-se à margem da história, sustentando uma posição de neutralidade. Decretado o bloqueio continental, contudo, a insustentabilidade de tal postura mostra-se com toda a crueza: aliar-se a França contra a Inglaterra (rainha dos mares e principal mercado dos produtos brasileiros) poderia levar </w:t>
      </w:r>
      <w:r>
        <w:lastRenderedPageBreak/>
        <w:t xml:space="preserve">à “prematura” independência da colônia; aliar-se com a Inglaterra contra a França, por outro lado, determinaria a invasão do reino. A solução encontrada revela, num único ato, não só a decadência econômica portuguesa e o papel fundamental cumprido pelo Brasil na frágil sustentação da mesma, mas, acima de tudo, a conformação peculiar do Estado e da sociedade portuguesa. A ordem será: </w:t>
      </w:r>
      <w:r>
        <w:rPr>
          <w:b/>
        </w:rPr>
        <w:t>que caia a nação, mas não o Estado, seus negócios e seus negociantes: transmigremo-nos!</w:t>
      </w:r>
      <w:r>
        <w:t xml:space="preserve"> Desta atitude extremamente ousada advirão conseqüências que explicarão em grau não desprezível a conformação futura da economia brasileira.</w:t>
      </w:r>
    </w:p>
    <w:p w:rsidR="00B10D19" w:rsidRDefault="00B10D19" w:rsidP="00B10D19">
      <w:pPr>
        <w:spacing w:before="120" w:after="120" w:line="360" w:lineRule="auto"/>
        <w:ind w:firstLine="540"/>
        <w:jc w:val="both"/>
      </w:pPr>
      <w:r>
        <w:t xml:space="preserve">O desenrolar desta história é tão conhecido, quanto surpreendente. Mal chegado a terras americanas, o príncipe-regente decretará o fim do exclusivo metropolitano, abrindo os portos brasileiros às nações amigas (denominação dada à Inglaterra e seus aliados no período). Instalando-se no Rio de Janeiro, estimulará a reestruturação da economia, liberando a produção manufatureira e criando a primeira instituição financeira do país. Sete anos após o desembarque, mais um golpe no pacto colonial: Dom João eleva o Brasil à membro do Reino-Unido, em condição de igualdade com Portugal e Algarves. E, a despeito da expulsão dos aliados de Napoleão do território da (agora, já) ex-Metrópole estar consolidada, o príncipe-regente continuará em terras americanas, onde será coroado rei em 1818. É tão somente após a Revolução do Porto que Dom João retornará a Portugal, deixando aqui o herdeiro do trono. As fortes pressões das Cortes no sentido de reconduzir o Brasil ao estatuto colonial fortalecerão a posição dos segmentos autonomistas internos, que vão conquistar o apoio de D. Pedro. Este proclamará a independência em 1822, criando o Império do Brasil. </w:t>
      </w:r>
    </w:p>
    <w:p w:rsidR="00B10D19" w:rsidRDefault="00B10D19" w:rsidP="00B10D19">
      <w:pPr>
        <w:spacing w:before="120" w:after="120" w:line="360" w:lineRule="auto"/>
        <w:ind w:firstLine="540"/>
        <w:jc w:val="both"/>
      </w:pPr>
      <w:r>
        <w:t>História demasiadamente conhecida, e demasiadamente pouco entendida. História muito peculiar. O príncipe-regente de Portugal, a metrópole, decretará o fim do estatuto colonial e estimulará o desenvolvimento econômico da ex-colônia e a internalização do excedente gerado na mesma. Seu filho, príncipe herdeiro do trono português, proclamará a independência, criando um império escravista em terras americanas. Seria anedótico, se não fosse a história real e se não acarretasse tantas e tão importantes conseqüências.</w:t>
      </w:r>
    </w:p>
    <w:p w:rsidR="00B10D19" w:rsidRDefault="00B10D19" w:rsidP="00B10D19">
      <w:pPr>
        <w:spacing w:before="120" w:after="120" w:line="360" w:lineRule="auto"/>
        <w:ind w:firstLine="540"/>
        <w:jc w:val="both"/>
      </w:pPr>
      <w:r>
        <w:t xml:space="preserve">Vale a pena nos perguntarmos o que poderia ter ocorrido caso a Corte não houvesse transmigrado. A pressão das nações industrializadas pela internacionalização da livre concorrência, de um lado, e a estagnação social e econômica de Portugal (cada vez mais transformada em um misto de parasita fiscal e desnecessário entreposto comercial), de outro, levariam, inexoravelmente, à independência. Porém, tal como a independência da </w:t>
      </w:r>
      <w:r>
        <w:lastRenderedPageBreak/>
        <w:t xml:space="preserve">América Espanhola, dificilmente se conseguiria manter unificada a América Portuguesa. Afinal, a crise da economia mercantil colonial que seguiu ao ciclo do ouro, conduziu, como vimos acima, a uma crescente autarquização da produção agrícola de norte a sul. E o desdobramento desta autarquização é o rompimento de elos e interesses fundamentais à construção de um projeto especificamente nacional de enfrentamento do pacto colonial. Vale dizer: na transição do século XVIII para o XIX, não havia, na debilitada colônia portuguesa da América, um segmento interno com interesses </w:t>
      </w:r>
      <w:r>
        <w:rPr>
          <w:iCs/>
        </w:rPr>
        <w:t>nacionais, dinamismo econômico</w:t>
      </w:r>
      <w:r>
        <w:t xml:space="preserve"> e apoio social suficientes para articular (e/ou submeter) os demais. De forma que, se levado a cabo apenas por agentes internos, nos marcos econômicos e institucionais do período, o (inexorável) processo de independência muito provavelmente determinaria a emergência de um conjunto de pequenas repúblicas. E estas – como a maioria das repúblicas oriundas da América espanhola – teriam enormes dificuldades para se inserirem rapidamente no dinâmico comercio mundial da </w:t>
      </w:r>
      <w:r>
        <w:rPr>
          <w:i/>
          <w:iCs/>
        </w:rPr>
        <w:t>pax britânica.</w:t>
      </w:r>
      <w:r>
        <w:t xml:space="preserve"> </w:t>
      </w:r>
    </w:p>
    <w:p w:rsidR="00B10D19" w:rsidRDefault="00B10D19" w:rsidP="00B10D19">
      <w:pPr>
        <w:spacing w:before="120" w:after="120" w:line="360" w:lineRule="auto"/>
        <w:ind w:firstLine="540"/>
        <w:jc w:val="both"/>
      </w:pPr>
      <w:r>
        <w:t xml:space="preserve">A transmigração da Corte para o Brasil impediu este desenrolar. E isto não só porque, sendo a Coroa portuguesa (e seu herdeiro) o(s) sujeito(s) histórico(s) imediato(s) do </w:t>
      </w:r>
      <w:r>
        <w:rPr>
          <w:iCs/>
        </w:rPr>
        <w:t>processo</w:t>
      </w:r>
      <w:r>
        <w:t xml:space="preserve"> de independência, a cooptação e incorporação dos grupos conservadores (potencialmente) contrários ao projeto de autonomização foi amplamente facilitada. Mais importante do que isto é o fato de que a transmigração viabilizou a </w:t>
      </w:r>
      <w:r>
        <w:rPr>
          <w:iCs/>
        </w:rPr>
        <w:t>internalização</w:t>
      </w:r>
      <w:r>
        <w:t xml:space="preserve"> daquele segmento econômico apto a (re-)construir o amálgama de interesses entre as disitintas frações regionais do senhoriato da (já quase ex-)Colônia: o capital mercantil português ligado ao tráfico de escravos e/ou ao tráfico dos produtos agropecuários brasileiros de exportação. A Coroa e o capital mercantil portugueses transmigrados articularão, desde a América, a reinserção da economia brasileira à nova economia mundial. Uma reinserção que – contraditoriamente - vai se fundar no revigoramento da produção mercantil-escravista-senhorial de bens tropicais voltados ao atendimento das demandas das economias centrais; vale dizer, no revigoramento da </w:t>
      </w:r>
      <w:r>
        <w:rPr>
          <w:bCs/>
        </w:rPr>
        <w:t>estrutura produtiva especificamente colonial</w:t>
      </w:r>
      <w:r>
        <w:t xml:space="preserve">.  Mas que se realiza baixo uma </w:t>
      </w:r>
      <w:r>
        <w:rPr>
          <w:bCs/>
        </w:rPr>
        <w:t>institucionalidade</w:t>
      </w:r>
      <w:r>
        <w:t xml:space="preserve"> – vale dizer, baixo um padrão </w:t>
      </w:r>
      <w:r>
        <w:rPr>
          <w:bCs/>
        </w:rPr>
        <w:t>regulatório</w:t>
      </w:r>
      <w:r>
        <w:t xml:space="preserve"> e um padrão </w:t>
      </w:r>
      <w:r>
        <w:rPr>
          <w:bCs/>
        </w:rPr>
        <w:t>distributivo</w:t>
      </w:r>
      <w:r>
        <w:t xml:space="preserve"> e de </w:t>
      </w:r>
      <w:r>
        <w:rPr>
          <w:bCs/>
        </w:rPr>
        <w:t>apropriação</w:t>
      </w:r>
      <w:r>
        <w:t xml:space="preserve"> </w:t>
      </w:r>
      <w:r>
        <w:rPr>
          <w:bCs/>
        </w:rPr>
        <w:t>de</w:t>
      </w:r>
      <w:r>
        <w:t xml:space="preserve"> </w:t>
      </w:r>
      <w:r>
        <w:rPr>
          <w:bCs/>
        </w:rPr>
        <w:t>excedente</w:t>
      </w:r>
      <w:r>
        <w:t xml:space="preserve"> – que já não é mais especificamente colonial. É esta contradição da nossa transição para a modernidade e para a sociedade nacional – uma modernização que se faz pela afirmação (radicalizada, como veremos) das estruturas coloniais – que vai estruturar e explicar toda a dinâmica política e econômica da nova nação ao longo do século XIX. Senão vejamos.</w:t>
      </w:r>
    </w:p>
    <w:p w:rsidR="00B10D19" w:rsidRDefault="00B10D19" w:rsidP="00B10D19">
      <w:pPr>
        <w:spacing w:before="120" w:after="120" w:line="360" w:lineRule="auto"/>
        <w:ind w:firstLine="540"/>
        <w:jc w:val="both"/>
      </w:pPr>
      <w:r>
        <w:lastRenderedPageBreak/>
        <w:t>Desde logo é preciso que se entenda que a política econômica de dinamização da economia colonial – vale dizer, da economia escravista-senhorial de exportação – instituída pelo príncipe-regente desde o desembarque não é apenas “consistente com”, mas volta-se diretamente à sustentação da complexa equação político-econômico-social necessária à manutenção dos elos entre Brasil e sua (já quase ex-)Metrópole. Afinal, dado o padrão de exploração da mão-de-obra africana no Brasil, não só a expectativa de vida do escravo era baixa, como era impossível reproduzir o sistema sem o tráfico negreiro</w:t>
      </w:r>
      <w:r>
        <w:rPr>
          <w:rStyle w:val="Refdenotaderodap"/>
        </w:rPr>
        <w:footnoteReference w:id="17"/>
      </w:r>
      <w:r>
        <w:t xml:space="preserve">. E malgrado exceções, era o capital mercantil português (e não o emergente capital mercantil brasileiro) que controlava este tráfico; e era Portugal (e não o Brasil) que controlava alguns dos principais territórios africanos (Angola e Moçambique) supridores de mão-de-obra escrava. Por fim, o aprofundamento da ordem escravista e latifundiária internamente envolvia aprofundar a dependência do senhor ao Estado, responsável, em última instância, pela manutenção da ordem e pela repressão a toda sorte de resistência da mão-de-obra servil (manifesta nos quilombos, nas fugas coletivas, nos levantes, etc.) e da população branca pobre (manifesta na ocupação de terras incultas, na formação de bandos e quadrilhas, etc.). </w:t>
      </w:r>
      <w:r>
        <w:rPr>
          <w:b/>
        </w:rPr>
        <w:t>Em suma: tal como na era especificamente colonial, ao contemplar os interesses do senhoriato, o Estado transmigrado buscava aprofundar a dependência do colono frente à ordem colonial.</w:t>
      </w:r>
      <w:r>
        <w:t xml:space="preserve"> </w:t>
      </w:r>
    </w:p>
    <w:p w:rsidR="00B10D19" w:rsidRDefault="00B10D19" w:rsidP="00B10D19">
      <w:pPr>
        <w:spacing w:before="120" w:after="120" w:line="360" w:lineRule="auto"/>
        <w:ind w:firstLine="540"/>
        <w:jc w:val="both"/>
      </w:pPr>
      <w:r>
        <w:t>O estratagema só não vingou porque a dialética Metrópole-Colônia havia alterado de tal forma a relação de dependência entre as partes que parcela não desprezível do capital mercantil transmigrado (e, mesmo, parcela não desprezível da alta nobreza lusa, do núcleo do estamento burocrático) deixara de ser português, passando a apoiar o aprofundamento da autonomia da (ex)colônia. Além disso, a transmigração, a elevação à Reino-Unido</w:t>
      </w:r>
      <w:r>
        <w:rPr>
          <w:rStyle w:val="Refdenotaderodap"/>
        </w:rPr>
        <w:footnoteReference w:id="18"/>
      </w:r>
      <w:r>
        <w:t xml:space="preserve"> e, de forma particular, a participação da representação brasileira nas </w:t>
      </w:r>
      <w:r>
        <w:lastRenderedPageBreak/>
        <w:t xml:space="preserve">Cortes vão catalisar a tomada de consciência por parte das elites locais da unidade de seus interesses e do antagonismo dos mesmos com os interesses dos segmentos portugueses do estamento burocrático e da burguesia lusa. Uma conscientização que passa a contar com o apoio militante de um aliado poderoso: a burguesia comercial inglesa, principal beneficiária do fim do exclusivo metropolitano e defensora ardorosa da crescente liberalização das relações comerciais e do aprofundamento da ordem competitiva nas colônias americanas. Mas o mais importante de tudo é que, com a transmigração, o senhoriato brasileiro vai poder manifestar sua oposição à ordem colonial de uma forma tal que lhe permitirá driblar a principal “armadilha lusa” em defesa daquela: malgrado o caráter excludente da ordem social e econômica interna, as insurreições nacionalistas – abertas em 1817 e estendidas até 1831, quando se conquista a abdicação de Dom Pedro – vão envolver e mobilizar o “povo”, vale dizer, a parcela pobre não-escrava da população. Na verdade, até 1848 (ano da Praieira, que encerra o ciclo das insurreições senhoriais), a mobilização do “populacho” será fundamental para o senhoriato. Sem essa mobilização seria impossível realizar a “revolução dentro da ordem” que a Independência representa. É preciso que haja insurreição e levante para que se extraiam concessões do poder instituído. Mas é preciso que as insurreições sejam debeladas – de preferência, de forma rápida, violenta e exemplar – para que não virem revolução. Para tanto, é preciso cumprir todo o ciclo: à mobilização do povo se segue a rápida repressão do Estado, que deságua em negociações, com “concessões de lado a lado”. </w:t>
      </w:r>
    </w:p>
    <w:p w:rsidR="00B10D19" w:rsidRDefault="00B10D19" w:rsidP="00B10D19">
      <w:pPr>
        <w:spacing w:before="120" w:after="120" w:line="360" w:lineRule="auto"/>
        <w:ind w:firstLine="540"/>
        <w:jc w:val="both"/>
      </w:pPr>
      <w:r>
        <w:t>O resultado deste processo será o “justo meio-termo”: a derrocada do Antigo Regime (e, com ele, da hegemonia do estamento burocrático e do capital mercantil), sem qualquer conquista democrática nos planos econômico e social (sem reforma agrária, sem abolição da escravatura, sem universalização da cidadania</w:t>
      </w:r>
      <w:r>
        <w:rPr>
          <w:rStyle w:val="Refdenotaderodap"/>
        </w:rPr>
        <w:footnoteReference w:id="19"/>
      </w:r>
      <w:r>
        <w:t xml:space="preserve">). Afinal, a ordem fundamental a ser mantida é a ordem escravista e latifundiária; o que se recusa é tanto o patrimonialismo luso – com seus monopólios, fiscalismo e privilégios – quanto a plena integração à ordem burguesa – que envolveria negar (na esteira das pressões inglesas) o tráfico e a escravidão. Para o senhoriato, o projeto dos transmigrados de reproduzir, aqui, </w:t>
      </w:r>
      <w:r>
        <w:lastRenderedPageBreak/>
        <w:t>a velha ordem portuguesa é tão inaceitável quanto o projeto inglês de supressão do tráfico e aceleração da mercantilização das relações internas</w:t>
      </w:r>
      <w:r>
        <w:rPr>
          <w:rStyle w:val="Refdenotaderodap"/>
        </w:rPr>
        <w:footnoteReference w:id="20"/>
      </w:r>
      <w:r>
        <w:t xml:space="preserve">. A Independência deve ser – e será – o momento da construção de uma nova hegemonia e de um novo projeto político construído a partir das mesmas bases sociais e econômicas da colônia. </w:t>
      </w:r>
    </w:p>
    <w:p w:rsidR="00B10D19" w:rsidRDefault="00B10D19" w:rsidP="00B10D19">
      <w:pPr>
        <w:spacing w:before="120" w:after="120" w:line="360" w:lineRule="auto"/>
        <w:ind w:firstLine="540"/>
        <w:jc w:val="both"/>
      </w:pPr>
      <w:r>
        <w:t>É evidente que este comprometimento com as bases sociais e econômicas pretéritas empresta um caráter farsesco à “Revolução da Independência”. Esta dimensão ideológica do processo, contudo, é demasiado evidente, e não precisa ser apresentada aqui</w:t>
      </w:r>
      <w:r>
        <w:rPr>
          <w:rStyle w:val="Refdenotaderodap"/>
        </w:rPr>
        <w:footnoteReference w:id="21"/>
      </w:r>
      <w:r>
        <w:t xml:space="preserve">. O que precisa ser esclarecido e evidenciado é o outro lado do processo: a dimensão de ruptura real. O que se rompeu? Como este rompimento se reflete nas imbricadas ordens econômica, social e político-institucional? </w:t>
      </w:r>
    </w:p>
    <w:p w:rsidR="00B10D19" w:rsidRDefault="00B10D19" w:rsidP="00B10D19">
      <w:pPr>
        <w:spacing w:before="120" w:after="120" w:line="360" w:lineRule="auto"/>
        <w:ind w:firstLine="540"/>
        <w:jc w:val="both"/>
      </w:pPr>
      <w:r>
        <w:t xml:space="preserve">Já vimos que a ruptura mais evidente se dá no plano político-institucional. Mas se engana quem pensa que este é um rompimento cosmético. Se o fosse, não teria sido arrancado a sangue. Pois muito sangue correu no ciclo das insurreições aberta pela Revolução Pernambucana de 1817 e encerrada na Praieira de 1848. E, note-se: um ciclo que se inicia </w:t>
      </w:r>
      <w:r>
        <w:rPr>
          <w:b/>
        </w:rPr>
        <w:t>após</w:t>
      </w:r>
      <w:r>
        <w:t xml:space="preserve"> a elevação a Reino-Unido; que torna o Brasil uma nação em igualdade formal com Portugal. Mas a Independência significa muito mais do que uma formalidade. Por isto ela terá de passar pela Constituição Liberal de 1823, pela Confederação do Equador e por toda a resistência posterior à Constituição outorgada que resultará na expulsão de Dom Pedro I em 1831. O nó da disputa é o controle do Estado e, com ele, do orçamento. A ânsia arrecadatória e redistributiva do Estado Luso impõe a universalização de uma demanda entre os senhores: “ou cai a taxação, ou ela tem que ser melhor repartida com a nobreza da terra”. </w:t>
      </w:r>
    </w:p>
    <w:p w:rsidR="00B10D19" w:rsidRDefault="00B10D19" w:rsidP="00B10D19">
      <w:pPr>
        <w:spacing w:before="120" w:after="120" w:line="360" w:lineRule="auto"/>
        <w:ind w:firstLine="540"/>
        <w:jc w:val="both"/>
      </w:pPr>
      <w:r>
        <w:t xml:space="preserve">Em suma: </w:t>
      </w:r>
      <w:r w:rsidRPr="002D3F61">
        <w:rPr>
          <w:b/>
          <w:bCs/>
        </w:rPr>
        <w:t>o que o senhoriato exige – e vai conquistar! - é o que Portugal nunca conheceu: a subordinação da Coroa aos proprietários de terra</w:t>
      </w:r>
      <w:r w:rsidRPr="002D3F61">
        <w:rPr>
          <w:rStyle w:val="Refdenotaderodap"/>
          <w:b/>
          <w:bCs/>
        </w:rPr>
        <w:footnoteReference w:id="22"/>
      </w:r>
      <w:r w:rsidRPr="002D3F61">
        <w:rPr>
          <w:b/>
          <w:bCs/>
        </w:rPr>
        <w:t>.</w:t>
      </w:r>
      <w:r>
        <w:t xml:space="preserve"> E isto não é de </w:t>
      </w:r>
      <w:r>
        <w:lastRenderedPageBreak/>
        <w:t xml:space="preserve">somenos importância. Afinal, os novos beneficiários da equação de poder são agentes </w:t>
      </w:r>
      <w:r>
        <w:rPr>
          <w:b/>
        </w:rPr>
        <w:t>nacionais</w:t>
      </w:r>
      <w:r>
        <w:t xml:space="preserve"> diretamente ligados à </w:t>
      </w:r>
      <w:r>
        <w:rPr>
          <w:b/>
        </w:rPr>
        <w:t>produção</w:t>
      </w:r>
      <w:r>
        <w:t xml:space="preserve"> de bens </w:t>
      </w:r>
      <w:r>
        <w:rPr>
          <w:b/>
        </w:rPr>
        <w:t>agropecuários</w:t>
      </w:r>
      <w:r>
        <w:rPr>
          <w:rStyle w:val="Refdenotaderodap"/>
        </w:rPr>
        <w:footnoteReference w:id="23"/>
      </w:r>
      <w:r>
        <w:t xml:space="preserve">. O vínculo com a produção implica em uma demanda de </w:t>
      </w:r>
      <w:r w:rsidRPr="002D3F61">
        <w:rPr>
          <w:b/>
          <w:bCs/>
        </w:rPr>
        <w:t>subversão do sentido da relação entre fiscalidade e prestação de serviços públicos</w:t>
      </w:r>
      <w:r>
        <w:t>: enquanto o velho estamento vive dos impostos, o senhoriato vive da produção, e percebe os serviços de apoio à mesma como essenciais, e os impostos como depressores do lucro</w:t>
      </w:r>
      <w:r>
        <w:rPr>
          <w:rStyle w:val="Refdenotaderodap"/>
        </w:rPr>
        <w:footnoteReference w:id="24"/>
      </w:r>
      <w:r>
        <w:t>. O fato destes agentes serem nacionais – vale dizer: domiciliados no território e em todo o território, e comprometidos com a inversão no mesmo da parcela do excedente apropriado e destinado à acumulação - determina que a ampliação de sua parcela no “butim” corresponda à ampliação da parcela do excedente que é internalizada e interiorizada. O fato destes agentes serem produtores agropecuários e compradores de escravos e produtos importados os compromete com o enfrentamento dos monopólios comerciais e financeiros de qualquer espécie.</w:t>
      </w:r>
    </w:p>
    <w:p w:rsidR="00B10D19" w:rsidRDefault="00B10D19" w:rsidP="00B10D19">
      <w:pPr>
        <w:spacing w:before="120" w:after="120" w:line="360" w:lineRule="auto"/>
        <w:ind w:firstLine="540"/>
        <w:jc w:val="both"/>
      </w:pPr>
      <w:r>
        <w:t xml:space="preserve">Isto não significa negar – insistamos – as circunscrições evidentes desta “Revolução Liberal”. Afinal, este é um liberalismo comprometido com a escravidão, com o tráfico de escravos e que conta com uma única política econômica: apoio aos interesses “da lavoura” a qualquer custo e acima de tudo. </w:t>
      </w:r>
      <w:r w:rsidRPr="002D3F61">
        <w:rPr>
          <w:b/>
          <w:bCs/>
        </w:rPr>
        <w:t>Trata-se, em suma, de um “liberalismo patrimonialista”, em que o Estado se volta integralmente ao atendimento dos interesses da “gente de bem”</w:t>
      </w:r>
      <w:r>
        <w:t xml:space="preserve">. Sem dúvida. O liberalismo neo-colonial tem, também, a função de mascarar e enfeitar o movimento efetivo de rotação que se está impondo: o (por assim dizer) enfeudamento da sociedade política patrimonialista. Só que este “enfeudamento” é, também, revolucionário e liberalizante. O que se exprime no principal resultado da Revolução da Independência: a plena subordinação do Estado a toda a sociedade civil e a qualquer membro da sociedade civil do período: os senhores. </w:t>
      </w:r>
    </w:p>
    <w:p w:rsidR="00B10D19" w:rsidRDefault="00B10D19" w:rsidP="00B10D19">
      <w:pPr>
        <w:spacing w:before="120" w:after="120" w:line="360" w:lineRule="auto"/>
        <w:ind w:firstLine="540"/>
        <w:jc w:val="both"/>
      </w:pPr>
      <w:r>
        <w:t>Mas, então, caberia perguntar: por que, a despeito das vitórias de 1831 e 1834 os conflitos regenciais não cessaram, mas se aprofundaram?</w:t>
      </w:r>
      <w:r>
        <w:rPr>
          <w:rStyle w:val="Refdenotaderodap"/>
        </w:rPr>
        <w:footnoteReference w:id="25"/>
      </w:r>
      <w:r>
        <w:t xml:space="preserve"> Simplesmente porque, ao </w:t>
      </w:r>
      <w:r>
        <w:lastRenderedPageBreak/>
        <w:t xml:space="preserve">contrário do que apostava o senhoriato revolucionário, a restrição do poder arrecadatório e redistributivo do Estado Central era uma medida relevante, mas absolutamente insuficiente para a superação das travas e armadilhas que mantinham as diversas economias regionais estagnadas ou em franca decadência. </w:t>
      </w:r>
    </w:p>
    <w:p w:rsidR="00B10D19" w:rsidRDefault="00B10D19" w:rsidP="00B10D19">
      <w:pPr>
        <w:spacing w:before="120" w:after="120" w:line="360" w:lineRule="auto"/>
        <w:ind w:firstLine="540"/>
        <w:jc w:val="both"/>
      </w:pPr>
      <w:r>
        <w:t>Para inúmeras regiões (mormente no Nordeste), a esperada retomada do crescimento simplesmente não virá ao longo de todo o século XIX. Como que viciados no padrão estamental e patrimonialista de administração dos negócios – em que a sustentação do explorado é parte da função do explorador, em todos os estratos sociais e em todos os elos da cadeia de produção e apropriação – os senhores do nordeste vão ter dificuldade para se reintegrar de forma plena nos novos circuitos comerciais hegemonizados pelo capital inglês. E o desdobramento desta dificuldade será a autarquização (sempre parcial, mas crescente) do latifúndio, que vai se impor como uma estratégia estrutural de sustentação econômica e social do latifúndio e do poder político da emergente figura do “coronel”</w:t>
      </w:r>
      <w:r>
        <w:rPr>
          <w:rStyle w:val="Refdenotaderodap"/>
        </w:rPr>
        <w:footnoteReference w:id="26"/>
      </w:r>
      <w:r>
        <w:t xml:space="preserve">. </w:t>
      </w:r>
    </w:p>
    <w:p w:rsidR="00B10D19" w:rsidRDefault="00B10D19" w:rsidP="00B10D19">
      <w:pPr>
        <w:spacing w:before="120" w:after="120" w:line="360" w:lineRule="auto"/>
        <w:ind w:firstLine="540"/>
        <w:jc w:val="both"/>
      </w:pPr>
      <w:r>
        <w:t xml:space="preserve">A tendência à estagnação e à autarquização não será, contudo, universal. Mais especificamente, uma região do Brasil vai destoar deste padrão, conquistando um dinamismo tão expressivo e diferenciado que acabará por impor um sutil – mas importante – reajustamento da equação política resultante de 1831/1834. Com o apoio do capital mercantil português transmigrado (e nacionalizado após a Independência), vai se constituir em torno do Rio de Janeiro uma nova e pujante economia escravista de exportação. Caberá a este capital identificar um novo produto colonial de exportação, articular sua produção interna e sua comercialização internacional. </w:t>
      </w:r>
    </w:p>
    <w:p w:rsidR="00B10D19" w:rsidRDefault="00B10D19" w:rsidP="00B10D19">
      <w:pPr>
        <w:spacing w:before="120" w:after="120" w:line="360" w:lineRule="auto"/>
        <w:ind w:firstLine="540"/>
        <w:jc w:val="both"/>
      </w:pPr>
      <w:r>
        <w:t>O produto eleito será o café. E sua eleição não é gratuita. Desde logo, trata-se de uma cultura sub-tropical particularmente adequada à produção sob regime escravista, pois é intensiva em trabalho, solicitando cuidados ao longo de todo o ano. Além disso, o longo período entre o plantio e a colheita</w:t>
      </w:r>
      <w:r>
        <w:rPr>
          <w:rStyle w:val="Refdenotaderodap"/>
        </w:rPr>
        <w:footnoteReference w:id="27"/>
      </w:r>
      <w:r>
        <w:t xml:space="preserve"> circunscreve a produção àqueles agricultores que, ou contam com fartos recursos próprios, ou com financiamento externo, para arcar com a sustentação dos custos de reprodução da mão-de-obra por um período tão longo. Este </w:t>
      </w:r>
      <w:r>
        <w:lastRenderedPageBreak/>
        <w:t xml:space="preserve">traço se associa ao caráter não essencial da mercadoria – um produto de sobremesa, de demanda crescente mas relativamente pouco expressiva na primeira metade do século XIX – para tornar sua produção pouco atrativa para economias e regiões já inseridas dinamicamente no circuito internacional de </w:t>
      </w:r>
      <w:r>
        <w:rPr>
          <w:i/>
        </w:rPr>
        <w:t xml:space="preserve">commodities </w:t>
      </w:r>
      <w:r>
        <w:t>coloniais (como o sul dos EUA e as Antilhas) e virtualmente impossível (em função das restrições financeiras) para as novas nações americanas, que não contavam com a base institucional e a acumulação primitiva necessária ao empreendimento. E o resultado será a conquista pelo Brasil do virtual monopólio da exportação mundial de café já na primeira metade do século XIX (veja-se Furtado, 1984, cap. 20).</w:t>
      </w:r>
    </w:p>
    <w:p w:rsidR="00B10D19" w:rsidRDefault="00B10D19" w:rsidP="00B10D19">
      <w:pPr>
        <w:spacing w:before="120" w:after="120" w:line="360" w:lineRule="auto"/>
        <w:ind w:firstLine="540"/>
        <w:jc w:val="both"/>
      </w:pPr>
      <w:r>
        <w:t xml:space="preserve">É bem verdade que a exploração desta posição monopolista será limitada pela necessidade de ampliar o mercado internacional do produto e pela persistente concorrência do chá. Porém, as conseqüências do controle internacional da produção e comercialização do café não podem ser subestimadas: ao contrário das Repúblicas Latino-Americanas, que só alcançarão rearticular sua produção de </w:t>
      </w:r>
      <w:r>
        <w:rPr>
          <w:i/>
        </w:rPr>
        <w:t>commodities</w:t>
      </w:r>
      <w:r>
        <w:t xml:space="preserve"> para o mercado externo na segunda metade do século XIX, o Brasil não apenas reingressará neste circuito na primeira metade deste século, como o fará dentro de um padrão muito peculiar: controlando e internalizando a parcela mais expressiva do valor agregado nos processos de produção, financiamento e comercialização do produto</w:t>
      </w:r>
      <w:r>
        <w:rPr>
          <w:rStyle w:val="Refdenotaderodap"/>
        </w:rPr>
        <w:footnoteReference w:id="28"/>
      </w:r>
      <w:r>
        <w:t xml:space="preserve">. </w:t>
      </w:r>
    </w:p>
    <w:p w:rsidR="00B10D19" w:rsidRDefault="00B10D19" w:rsidP="00B10D19">
      <w:pPr>
        <w:spacing w:before="120" w:after="120" w:line="360" w:lineRule="auto"/>
        <w:ind w:firstLine="540"/>
        <w:jc w:val="both"/>
      </w:pPr>
      <w:r>
        <w:t xml:space="preserve">A principal conseqüência econômica da internalização do excedente cafeeiro será a aceleração da acumulação e o rápido crescimento da capacidade produtiva e da produção de café. O que se desdobrará em uma recuperação da demanda por bens de consumo (alimentos, tecidos, vestuário, etc.), insumos (sacos, enxadas, mulas, material de construção, etc.) e serviços (transporte, comércio, seguros, etc.), alimentando um processo de rearticulação e dinamização das relações mercantis inter-regionais. </w:t>
      </w:r>
    </w:p>
    <w:p w:rsidR="00B10D19" w:rsidRDefault="00B10D19" w:rsidP="00B10D19">
      <w:pPr>
        <w:spacing w:before="120" w:after="120" w:line="360" w:lineRule="auto"/>
        <w:ind w:firstLine="540"/>
        <w:jc w:val="both"/>
      </w:pPr>
      <w:r>
        <w:t xml:space="preserve">Simultaneamente, ampliar-se-á a base fiscal, o orçamento público e a capacidade do Estado para responder às demandas senhoriais por serviços de “apoio à lavoura”. O que levará à contemporização e arrefecimento dos conflitos inter-senhoriais manifestos </w:t>
      </w:r>
      <w:r>
        <w:lastRenderedPageBreak/>
        <w:t xml:space="preserve">no ciclo de insurreições do período revolucionário da Independência, que se extingue em 1848 com a Praieira. </w:t>
      </w:r>
    </w:p>
    <w:p w:rsidR="00B10D19" w:rsidRDefault="00B10D19" w:rsidP="00B10D19">
      <w:pPr>
        <w:spacing w:before="120" w:after="120" w:line="360" w:lineRule="auto"/>
        <w:ind w:firstLine="540"/>
        <w:jc w:val="both"/>
      </w:pPr>
      <w:r>
        <w:t xml:space="preserve">Desnecessário dizer, contudo, que esta História de sucesso terá o seu preço. E o preço será um discreto retrocesso na revolução liberal-feudal (com o perdão da expressão propositalmente contraditória) da Independência. Afinal, a recuperação da capacidade de intervenção e apoio do setor público terá por base um núcleo econômico claro, representado peka tríade “café-capital mercantil-Vale do Paraíba”. E este núcleo não aceitaria financiar a contemporização dos interesses regionais sem alguma reciprocidade. E o preço será a contemporização do novo patrimonialismo (liberal-feudal) com o velho (estamental e mercantilista). O senhoriato não apenas terá que dividir o poder com o capital mercantil – responsável pelo tráfico, pelo financiamento à lavoura e pela comercialização da produção – como sofrerá uma diferenciação e hierarquização interna, a partir da constituição dos barões do café. O Partido Conservador – francamente hegemônico no Segundo Império – será o veículo de expressão e exercício desta nova composição hegemônica. Dois passos à frente, e um atrás. </w:t>
      </w:r>
      <w:r w:rsidRPr="002D3F61">
        <w:rPr>
          <w:b/>
          <w:bCs/>
        </w:rPr>
        <w:t>É assim que o Brasil se move: com determinação, segurança e lerdeza</w:t>
      </w:r>
      <w:r>
        <w:t xml:space="preserve">. </w:t>
      </w:r>
    </w:p>
    <w:p w:rsidR="00B10D19" w:rsidRDefault="00B10D19" w:rsidP="00B10D19">
      <w:pPr>
        <w:spacing w:before="120" w:after="120" w:line="360" w:lineRule="auto"/>
        <w:ind w:firstLine="540"/>
        <w:jc w:val="both"/>
      </w:pPr>
      <w:r>
        <w:t>Dada a equação montada, o fim do trafico internacional em 1850 ocorre quando a economia já se encontra em plena expansão. E a estrutura escravista será sustentada, desde então, pelo trafico intra-regional. Em meados da década seguinte, contudo, já se faziam notar os sinais da crise que adviria, mantidos os sistemas de produção, transporte e comércio. O preço do escravo subia consideravelmente e a estrutura predatória do cultivo (inerente ao escravismo mercantil brasileiro</w:t>
      </w:r>
      <w:r>
        <w:rPr>
          <w:rStyle w:val="Refdenotaderodap"/>
        </w:rPr>
        <w:footnoteReference w:id="29"/>
      </w:r>
      <w:r>
        <w:t xml:space="preserve">) forçava o deslocamento das lavouras cada vez mais para o oeste, elevando-se enormemente os custos dos transportes até os portos de embarque. Circunscrevesse-se ao capital mercantil nacional aos limites de sua lógica própria de valorização, a estagnação da economia cafeeira seria inexorável. Mas uma nova revolução se anuncia a partir de três movimentos: a modernização do capital mercantil nacional, o ingresso do capital financeiro e produtivo internacional no circuito cafeeiro e a incorporação de novos estratos do senhoriato ao circuito da produção para a exportação.    </w:t>
      </w:r>
    </w:p>
    <w:p w:rsidR="00B10D19" w:rsidRDefault="00B10D19" w:rsidP="00B10D19">
      <w:pPr>
        <w:spacing w:before="120" w:after="120" w:line="360" w:lineRule="auto"/>
        <w:ind w:firstLine="540"/>
        <w:jc w:val="both"/>
      </w:pPr>
      <w:r>
        <w:lastRenderedPageBreak/>
        <w:t>O primeiro movimento é o mais simples e se funda na conhecida relação entre o hábito e o monge. Ao longo do Império, senhoriato e capital mercantil constituem e operam um Estado Patrimonial formalmente moderno e liberal, e realizam (vale dizer, transformam em dinheiro) sua produção escravista em mercados internacionais dominados por uma burguesia comercial, industrial e financeira fortemente competitiva e avessa a todo e qualquer tipo de prática mercantilista. Ora, a operação cotidiana (sempre parcial e matizada, mas impositiva) dentro de marcos políticos e econômicos liberais acabará por determinar a emergência interna de agentes e segmentos burgueses capazes de perceber as vantagens de longo prazo inerentes à adoção de padrões mais racionais e menos tradicionalistas de gestão da produção</w:t>
      </w:r>
      <w:r>
        <w:rPr>
          <w:rStyle w:val="Refdenotaderodap"/>
        </w:rPr>
        <w:footnoteReference w:id="30"/>
      </w:r>
      <w:r>
        <w:t>.</w:t>
      </w:r>
    </w:p>
    <w:p w:rsidR="00B10D19" w:rsidRDefault="00B10D19" w:rsidP="00B10D19">
      <w:pPr>
        <w:spacing w:before="120" w:after="120" w:line="360" w:lineRule="auto"/>
        <w:ind w:firstLine="540"/>
        <w:jc w:val="both"/>
      </w:pPr>
      <w:r>
        <w:t>O segundo movimento deriva-se da extroversão financeiro-produtiva dos países capitalistas centrais a partir da segunda metade do século XIX que deu origem ao Imperialismo moderno. Nos países como o Brasil, onde a estrutura legal e institucional suporta a recepção de investimentos forâneos sem a necessidade de intervenções políticas, a incorporação da nação ao circuito internacional de valorização do capital se realiza sem rupturas aparentes. Pelo contrário: em nosso caso o Estado nacional será parceiro ativo da febre ferroviária, garantindo ao capital estrangeiro e aos seus associados locais uma rentabilidade mínima de 7% a.a. pelos investimentos feitos. Afinal, a depressão dos custos de transporte é funcional à lavoura, permitindo a sobrevida da ordem escravista e aprofundando os laços de solidariedade do Império Americano com o Império Britânico.</w:t>
      </w:r>
    </w:p>
    <w:p w:rsidR="00B10D19" w:rsidRPr="00D431BD" w:rsidRDefault="00B10D19" w:rsidP="00B10D19">
      <w:pPr>
        <w:spacing w:before="120" w:after="120" w:line="360" w:lineRule="auto"/>
        <w:ind w:firstLine="540"/>
        <w:jc w:val="both"/>
        <w:rPr>
          <w:b/>
          <w:bCs/>
        </w:rPr>
      </w:pPr>
      <w:r>
        <w:t xml:space="preserve">O terceiro e último movimento é, contudo, o que vai dar a tônica da nova revolução, que redundará na abolição da escravatura e na República. Pensamos aqui na incorporação de São Paulo – e, por conseqüência, do senhoriato paulista – à equação cafeeira. Uma incorporação que será facilitada e acelerada pelos dois outros movimentos: em 1867 é inaugurada a São Paulo Railway, ligando Santos à Jundiaí, construída pelo Barão de Mauá em sociedade com capitais ingleses. E o impacto da estrada de ferro é enorme. Em primeiro lugar, porque deprime fortemente os custos de transporte até o porto de Santos, rompendo a barreira da íngreme Serra do Mar na região de São Paulo. E em segundo lugar porque vai alavancar a acumulação financeira dos proprietários de terra e produtores agrícolas paulistas, que venderão para o Exército – comprometido com o transporte de víveres para a Guerra do Paraguai – o grande plantel de mulas que havia se tornado </w:t>
      </w:r>
      <w:r>
        <w:lastRenderedPageBreak/>
        <w:t xml:space="preserve">redundante. O volume de recursos mobilizados permitirá o ingresso de diversos fazendeiros na produção cafeeira </w:t>
      </w:r>
      <w:r w:rsidRPr="00D431BD">
        <w:rPr>
          <w:b/>
          <w:bCs/>
        </w:rPr>
        <w:t>sem depender do financiamento do capital mercantil</w:t>
      </w:r>
      <w:r w:rsidRPr="00D431BD">
        <w:rPr>
          <w:rStyle w:val="Refdenotaderodap"/>
          <w:b/>
          <w:bCs/>
        </w:rPr>
        <w:footnoteReference w:id="31"/>
      </w:r>
      <w:r w:rsidRPr="00D431BD">
        <w:rPr>
          <w:b/>
          <w:bCs/>
        </w:rPr>
        <w:t>.</w:t>
      </w:r>
    </w:p>
    <w:p w:rsidR="00B10D19" w:rsidRDefault="00B10D19" w:rsidP="00B10D19">
      <w:pPr>
        <w:spacing w:before="120" w:after="120" w:line="360" w:lineRule="auto"/>
        <w:ind w:firstLine="540"/>
        <w:jc w:val="both"/>
      </w:pPr>
      <w:r>
        <w:t xml:space="preserve">A incorporação do senhoriato paulista à equação cafeeira tem, contudo, um significado próprio, que transcende essa independência financeira. Um significado que só pode ser entendido na medida em que se entende que o senhoriato paulista se distingue do nordestino e do fluminense desde sua origem; havendo desenvolvido um padrão de inserção produtiva e um padrão de consciência social específico e peculiar. Alijado do ciclo do açúcar e comprometido com o bandeirantismo e a preação do indígena, o senhoriato paulista não poderia assumir os fumos aristocráticos dos senhores de engenho. Após a descoberta das minas de ouro, a tentativa dos paulistas de monopolizar a extração redundou na Guerra dos Emboabas, em que foram derrotados (com o apoio tácito da Coroa) e parcialmente alijados da exploração da nova riqueza (veja-se Faoro, 1975, pp. 153 e segs). Desde então, parcela expressiva dos senhores dedicou-se à produção de víveres para as Minas e para o principal centro urbano colonial e Imperial: o Rio de Janeiro. Um negócio que, de um lado, mostrou-se mais lucrativo e perene do que se poderia esperar originalmente, e que, de outro lado, por apresentar margens de rentabilidade relativamente menores, comprometeu o próprio fazendeiro com o gerenciamento dos negócios em todos os níveis. Em particular, comprometeu-os com o gerenciamento da comercialização, que vai transformar o fazendeiro em “tropeiro” </w:t>
      </w:r>
      <w:r>
        <w:rPr>
          <w:rStyle w:val="Refdenotaderodap"/>
        </w:rPr>
        <w:footnoteReference w:id="32"/>
      </w:r>
      <w:r>
        <w:t xml:space="preserve">. </w:t>
      </w:r>
    </w:p>
    <w:p w:rsidR="00B10D19" w:rsidRDefault="00B10D19" w:rsidP="00B10D19">
      <w:pPr>
        <w:spacing w:before="120" w:after="120" w:line="360" w:lineRule="auto"/>
        <w:ind w:firstLine="540"/>
        <w:jc w:val="both"/>
      </w:pPr>
      <w:r>
        <w:t xml:space="preserve">Ora, o exercício da barganha, do cálculo da taxa de retorno, da avaliação de riscos e benefícios potenciais da alteração do portfólio de produção e comércio, vai potencializar e maximizar a dimensão empresarial (em detrimento da dimensão fidalga) do senhoriato paulista ao longo do século XVIII e primeira metade do XIX. Com a alavancagem de sua capacidade de auto-financiamento a partir da oportuna coincidência da conclusão da Santos-Jundiaí com o recrudescimento da campanha paraguaia, estas competências </w:t>
      </w:r>
      <w:r>
        <w:lastRenderedPageBreak/>
        <w:t xml:space="preserve">empresariais serão canalizadas para o negócio cafeeiro, que ganhará novo dinamismo e perfil. </w:t>
      </w:r>
    </w:p>
    <w:p w:rsidR="00B10D19" w:rsidRDefault="00B10D19" w:rsidP="00B10D19">
      <w:pPr>
        <w:spacing w:before="120" w:after="120" w:line="360" w:lineRule="auto"/>
        <w:ind w:firstLine="540"/>
        <w:jc w:val="both"/>
      </w:pPr>
      <w:r>
        <w:t xml:space="preserve">Desde logo, os novos cafeicultores paulistas vão se envolver, não apenas com a produção cafeeira, mas com a sua comercialização, com a expansão da rede ferroviária para o Oeste (através da participação nas Companhias Mogiana, Sorocabana e Ituana) e com os negócios imobiliários alavancados pela interiorização das ferrovias. E a rápida e expressiva acumulação financeira e produtiva daí derivada vai ter duas conseqüências. Em primeiro lugar, vão se recolocar, de forma maximizada, as pressões sobre o mercado de trabalho (que haviam sido dribladas com o deslocamento da mão-de-obra escrava das lides de transporte). Em segundo lugar, o eixo dinâmico da economia – e a base da exação fiscal do poder público –, vai se deslocar da região fluminense para São Paulo. </w:t>
      </w:r>
    </w:p>
    <w:p w:rsidR="00B10D19" w:rsidRDefault="00B10D19" w:rsidP="00B10D19">
      <w:pPr>
        <w:spacing w:before="120" w:after="120" w:line="360" w:lineRule="auto"/>
        <w:ind w:firstLine="540"/>
        <w:jc w:val="both"/>
      </w:pPr>
      <w:r>
        <w:t xml:space="preserve">Ora, estas duas conseqüências vão estar no cerne do movimento republicano. Em primeiro lugar, porque a questão da mão-de-obra não poderia ser solucionada sem a transição para o assalariamento. E esta transição elimina o alicerce da unidade nacional senhorial: a sustentação da ordem social escravista, driblando as pressões contrárias oriundas do inimigo interno (o escravo) e do adversário externo (o capital comercial e produtivo internacional, interessado no aprofundamento da ordem social competitiva). Agora, enquanto a parcela dinâmica e aburguesada do senhoriato vê na aceleração da transição para o assalariamento a condição </w:t>
      </w:r>
      <w:r>
        <w:rPr>
          <w:i/>
        </w:rPr>
        <w:t xml:space="preserve">sine qua non </w:t>
      </w:r>
      <w:r>
        <w:t xml:space="preserve">da sustentação da acumulação, a parcela decadente e autarquizada resiste, e aprofunda sua conversão ao “patriarcalismo coronelista”, na tentativa de inviabilizar o desenvolvimento da ordem social competitiva e de padrões especificamente burgueses de ordenamento produtivo. </w:t>
      </w:r>
    </w:p>
    <w:p w:rsidR="00B10D19" w:rsidRDefault="00B10D19" w:rsidP="00B10D19">
      <w:pPr>
        <w:spacing w:before="120" w:after="120" w:line="360" w:lineRule="auto"/>
        <w:ind w:firstLine="540"/>
        <w:jc w:val="both"/>
      </w:pPr>
      <w:r>
        <w:t xml:space="preserve">Mas isto não é tudo. Ao lado desta, uma outra cisão igualmente importante vai se impor. A mudança do eixo dinâmico da economia e da base da exação fiscal para São Paulo vai fazer emergir novas e fortes resistências à sustentação das custosas políticas públicas rigorosamente nacionais, que envolvem, desde a administração da justiça e da segurança, até a audaz e custosa garantia de rentabilidade das estradas de ferro de norte a sul. Enquanto o ônus fiscal recaía sobre os barões cafeicultores fluminenses – mais barões do que empresários, mais envolvidos com a administração do Estado do que com a administração de seus próprios negócios – a equação não era apenas sustentável, mas necessária: o Estado forte e centralizado do Império foi fundamental na articulação das condições da acumulação cafeeira escravista fluminense. Mas a lógica dos cafeicultores paulistas é outra. Mais empresários do que senhores, os custos de uma fiscalidade pesada </w:t>
      </w:r>
      <w:r>
        <w:lastRenderedPageBreak/>
        <w:t xml:space="preserve">- porquanto comprometida com a prestação isonômica de serviços para o conjunto do senhoriato - vão lhes parecer exorbitantes, comparados aos seus benefícios: a manutenção da unidade nacional e o controle dos Gabinetes do Império e da distribuição de cargos e salários públicos.    </w:t>
      </w:r>
    </w:p>
    <w:p w:rsidR="00B10D19" w:rsidRDefault="00B10D19" w:rsidP="00B10D19">
      <w:pPr>
        <w:spacing w:before="120" w:after="120" w:line="360" w:lineRule="auto"/>
        <w:ind w:firstLine="540"/>
        <w:jc w:val="both"/>
      </w:pPr>
      <w:r>
        <w:t xml:space="preserve">Já em 1873 – apenas seis anos após a conclusão da Santos-Jundiaí – será fundado o Partido Republicano Paulista. O núcleo de seu projeto político e social não chega a ser propriamente novo: ele reedita, radicalizando, o projeto “liberal-feudalizante” de 1831/34.  Só que, agora, o que há de feudalizante – no sentido mais impressionista do termo, no sentido daquele patrimonialismo mais primitivo, de “rincão”, que vai se manifestar nas formas exacerbadas do nosso coronelismo – é destinado exclusivamente ao nordeste e aos grotões do centro-oeste; e a dimensão liberal – e só a liberal – será destinada ao centro-sul, transformado em uma grande periferia de São Paulo. </w:t>
      </w:r>
      <w:r w:rsidRPr="00D431BD">
        <w:rPr>
          <w:b/>
          <w:bCs/>
        </w:rPr>
        <w:t>O instrumento eleito para garantir unidade a esta síntese contraditória de atraso e modernização é o federalismo.</w:t>
      </w:r>
      <w:r>
        <w:t xml:space="preserve"> As Províncias – que seriam elevadas à categoria de Estados Federados – teriam a mais ampla autonomia para definir suas dinâmicas da modernização; se modernização houvesse e as conviesse. </w:t>
      </w:r>
    </w:p>
    <w:p w:rsidR="00B10D19" w:rsidRPr="009F3E4E" w:rsidRDefault="00B10D19" w:rsidP="00B10D19">
      <w:pPr>
        <w:tabs>
          <w:tab w:val="left" w:pos="2160"/>
        </w:tabs>
        <w:spacing w:before="120" w:after="120" w:line="360" w:lineRule="auto"/>
        <w:jc w:val="center"/>
        <w:rPr>
          <w:sz w:val="28"/>
          <w:szCs w:val="28"/>
        </w:rPr>
      </w:pPr>
      <w:r>
        <w:rPr>
          <w:b/>
          <w:sz w:val="32"/>
          <w:szCs w:val="32"/>
        </w:rPr>
        <w:br w:type="page"/>
      </w:r>
      <w:r w:rsidRPr="009F3E4E">
        <w:rPr>
          <w:b/>
          <w:sz w:val="28"/>
          <w:szCs w:val="28"/>
        </w:rPr>
        <w:lastRenderedPageBreak/>
        <w:t>C</w:t>
      </w:r>
      <w:r>
        <w:rPr>
          <w:b/>
          <w:sz w:val="28"/>
          <w:szCs w:val="28"/>
        </w:rPr>
        <w:t xml:space="preserve">apítulo </w:t>
      </w:r>
      <w:r w:rsidRPr="009F3E4E">
        <w:rPr>
          <w:b/>
          <w:sz w:val="28"/>
          <w:szCs w:val="28"/>
        </w:rPr>
        <w:t>16.  A emergência da ordem capitalista e os limites da industrialização cafeeira</w:t>
      </w:r>
    </w:p>
    <w:p w:rsidR="00B10D19" w:rsidRDefault="00B10D19" w:rsidP="00B10D19">
      <w:pPr>
        <w:spacing w:before="120" w:after="120" w:line="360" w:lineRule="auto"/>
        <w:jc w:val="both"/>
        <w:rPr>
          <w:b/>
        </w:rPr>
      </w:pPr>
    </w:p>
    <w:p w:rsidR="00B10D19" w:rsidRDefault="00B10D19" w:rsidP="00B10D19">
      <w:pPr>
        <w:ind w:left="3960"/>
        <w:jc w:val="right"/>
        <w:rPr>
          <w:i/>
        </w:rPr>
      </w:pPr>
      <w:r>
        <w:rPr>
          <w:i/>
        </w:rPr>
        <w:t>A massa de salários pagos no setor</w:t>
      </w:r>
    </w:p>
    <w:p w:rsidR="00B10D19" w:rsidRDefault="00B10D19" w:rsidP="00B10D19">
      <w:pPr>
        <w:ind w:left="3960"/>
        <w:jc w:val="right"/>
        <w:rPr>
          <w:i/>
        </w:rPr>
      </w:pPr>
      <w:r>
        <w:rPr>
          <w:i/>
        </w:rPr>
        <w:t>exportador vem a ser, por conseguinte,</w:t>
      </w:r>
    </w:p>
    <w:p w:rsidR="00B10D19" w:rsidRDefault="00B10D19" w:rsidP="00B10D19">
      <w:pPr>
        <w:ind w:left="3960"/>
        <w:jc w:val="right"/>
        <w:rPr>
          <w:i/>
        </w:rPr>
      </w:pPr>
      <w:r>
        <w:rPr>
          <w:i/>
        </w:rPr>
        <w:t xml:space="preserve"> o núcleo de uma economia de mercado interno</w:t>
      </w:r>
    </w:p>
    <w:p w:rsidR="00B10D19" w:rsidRDefault="00B10D19" w:rsidP="00B10D19">
      <w:pPr>
        <w:ind w:left="3960"/>
        <w:jc w:val="right"/>
        <w:rPr>
          <w:b/>
        </w:rPr>
      </w:pPr>
      <w:r>
        <w:rPr>
          <w:b/>
        </w:rPr>
        <w:t xml:space="preserve">Celso Furtado, </w:t>
      </w:r>
      <w:r w:rsidRPr="003A0055">
        <w:t>Formação Econômica do Brasil</w:t>
      </w:r>
    </w:p>
    <w:p w:rsidR="00B10D19" w:rsidRDefault="00B10D19" w:rsidP="00B10D19">
      <w:pPr>
        <w:spacing w:before="120" w:after="120" w:line="360" w:lineRule="auto"/>
        <w:jc w:val="both"/>
        <w:rPr>
          <w:i/>
        </w:rPr>
      </w:pPr>
    </w:p>
    <w:p w:rsidR="00B10D19" w:rsidRDefault="00B10D19" w:rsidP="00B10D19">
      <w:pPr>
        <w:spacing w:before="120" w:after="120" w:line="360" w:lineRule="auto"/>
        <w:ind w:firstLine="540"/>
        <w:jc w:val="both"/>
      </w:pPr>
      <w:r>
        <w:t xml:space="preserve">O fim do tráfico, e as leis abolicionistas (Lei do Ventre Livre e Lei Áurea), os subsídios públicos à imigração, a consolidação da ordem assalariada, a proclamação da República e a transição para um sistema político federativo são momentos imbricados da mesma revolução. Uma revolução feita por brancos, para os brancos. E, no limite, uma revolução feita por cafeicultores paulistas, para os cafeicultores paulistas. </w:t>
      </w:r>
    </w:p>
    <w:p w:rsidR="00B10D19" w:rsidRDefault="00B10D19" w:rsidP="00B10D19">
      <w:pPr>
        <w:spacing w:before="120" w:after="120" w:line="360" w:lineRule="auto"/>
        <w:ind w:firstLine="540"/>
        <w:jc w:val="both"/>
      </w:pPr>
      <w:r>
        <w:t xml:space="preserve">É claro que, nem a Abolição, nem a República são demandas exclusivas da cafeicultura paulista. Os negros (escravos ou não) são os primeiros interessados e os primeiros militantes da causa abolicionista. A emergente classe média urbana – e, de forma muito particular, os militares – tem um papel crucial na propaganda e na condução do movimento republicano. E o projeto paulista de federação não vai se impor no Centro-Sul sem a anuência e contemporização com os interesses “burgueso-oligáriquicos” fluminenses, gaúchos e mineiros. </w:t>
      </w:r>
    </w:p>
    <w:p w:rsidR="00B10D19" w:rsidRDefault="00B10D19" w:rsidP="00B10D19">
      <w:pPr>
        <w:spacing w:before="120" w:after="120" w:line="360" w:lineRule="auto"/>
        <w:ind w:firstLine="540"/>
        <w:jc w:val="both"/>
      </w:pPr>
      <w:r>
        <w:t>Sem dúvida. Mas nenhum destes fatores elimina o fato de que a revolução republicana foi branca e paulista. A abolição o foi na medida em que não se associou a qualquer reforma agrária, abandonando os ex-escravos à própria sorte. Seu único desdobramento de monta no plano das políticas públicas foi a estruturação de um complexo e custoso sistema de apoio à imigração. E a República o foi na medida em que, na contra-mão do projeto positivista</w:t>
      </w:r>
      <w:r>
        <w:rPr>
          <w:rStyle w:val="Refdenotaderodap"/>
        </w:rPr>
        <w:footnoteReference w:id="33"/>
      </w:r>
      <w:r>
        <w:t xml:space="preserve"> abraçado pelo Exército, será liberal e federalista acima de tudo. Na direção do projeto paulista, a República fortalece os Estados Provinciais às custas do Estado Nacional. Um fortalecimento que se dará em todos os níveis, mas que terá uma ênfase: o plano fiscal: enquanto se delega ao governo central o </w:t>
      </w:r>
      <w:r>
        <w:lastRenderedPageBreak/>
        <w:t xml:space="preserve">imposto de importação, a taxação sobre as exportações (leia-se: sobre o café) ficam a cargo dos governos estaduais. </w:t>
      </w:r>
    </w:p>
    <w:p w:rsidR="00B10D19" w:rsidRDefault="00B10D19" w:rsidP="00B10D19">
      <w:pPr>
        <w:spacing w:before="120" w:after="120" w:line="360" w:lineRule="auto"/>
        <w:ind w:firstLine="540"/>
        <w:jc w:val="both"/>
      </w:pPr>
      <w:r>
        <w:t>É claro que o Exército, o Rio de Janeiro e o Rio Grande do Sul resistiram</w:t>
      </w:r>
      <w:r>
        <w:rPr>
          <w:rStyle w:val="Refdenotaderodap"/>
        </w:rPr>
        <w:footnoteReference w:id="34"/>
      </w:r>
      <w:r>
        <w:t>. A tentativa de golpe do Marechal Deodoro, o sutil apoio de Floriano aos defensores do continuísmo militar, a Revolta da Armada e, acima de tudo, a Revolução Federalista, são expressões desta resistência. Mas a verdade é que o projeto alternativo ao paulista – positivista e centralizador  - já nascera derrotado. Ele não encontra aliados, nem entre os potentados nordestinos, nem no seio da pujante e ascendente burguesia cafeeira. E, a despeito da adesão dos segmentos mais organizados da classe média urbana, não encontra efetiva adesão popular.</w:t>
      </w:r>
    </w:p>
    <w:p w:rsidR="00B10D19" w:rsidRDefault="00B10D19" w:rsidP="00B10D19">
      <w:pPr>
        <w:spacing w:before="120" w:after="120" w:line="360" w:lineRule="auto"/>
        <w:ind w:firstLine="540"/>
        <w:jc w:val="both"/>
      </w:pPr>
      <w:r>
        <w:t xml:space="preserve">A fragilidade da base social e econômica de sustentação do projeto de modernização conservadora das lideranças republicanas do Exército brasileiro será claramente percebida por Júlio de Castilhos, o maior líder do Partido Republicano Riograndense (PRR). E o resultado é que, a despeito de seu positivismo militante, Castilhos preferirá se aliar aos paulistas e nordestinos na defesa de uma República ultra-federalista do que se irmanar ao projeto natimorto de uma nação positivista sob direção do Exército. De quebra, a aliança tática dos </w:t>
      </w:r>
      <w:r w:rsidRPr="00A616A8">
        <w:rPr>
          <w:b/>
          <w:bCs/>
        </w:rPr>
        <w:t>positivistas</w:t>
      </w:r>
      <w:r>
        <w:t xml:space="preserve"> do PRR com os liberais do Partido Republicano Paulista (PRP) sob a égide do federalismo radical permitiria a construção do sonho da “república positivista” no Rio Grande do Sul</w:t>
      </w:r>
      <w:r>
        <w:rPr>
          <w:rStyle w:val="Refdenotaderodap"/>
        </w:rPr>
        <w:footnoteReference w:id="35"/>
      </w:r>
      <w:r>
        <w:t>.</w:t>
      </w:r>
    </w:p>
    <w:p w:rsidR="00B10D19" w:rsidRDefault="00B10D19" w:rsidP="00B10D19">
      <w:pPr>
        <w:spacing w:before="120" w:after="120" w:line="360" w:lineRule="auto"/>
        <w:ind w:firstLine="540"/>
        <w:jc w:val="both"/>
      </w:pPr>
      <w:r>
        <w:lastRenderedPageBreak/>
        <w:t>Abandonado pelo Rio Grande do Sul, o Exército vai retornar à caserna após o governo Floriano, donde só sairá (malgrado o governo Hermes da Fonseca, que não chega a marcar uma descontinuidade na Primeira República) com o golpe de 1930. Junto com o Exército, sairão de cena os defensores da modernização acelerada e do industrialismo, desprestigiados após o vexame do Encilhamento</w:t>
      </w:r>
      <w:r>
        <w:rPr>
          <w:rStyle w:val="Refdenotaderodap"/>
        </w:rPr>
        <w:footnoteReference w:id="36"/>
      </w:r>
      <w:r>
        <w:t>.  De forma que, superado o período de transição revolucionária, a ascensão do primeiro civil à Presidência da República vai consagrar a hegemonia cafeicultora e paulista, inconteste até a queda de Washington Luís.</w:t>
      </w:r>
    </w:p>
    <w:p w:rsidR="00B10D19" w:rsidRDefault="00B10D19" w:rsidP="00B10D19">
      <w:pPr>
        <w:spacing w:before="120" w:after="120" w:line="360" w:lineRule="auto"/>
        <w:ind w:firstLine="540"/>
        <w:jc w:val="both"/>
      </w:pPr>
      <w:r>
        <w:t>É bem verdade que a hegemonia paulista só será conquistada com negociações e compromissos. E a expressão maior desta delicada articulação política será o compromisso com um Estado Nacional mínimo e liberal. Se aos governos estaduais é dado o direito (mas não a tarefa!) de se imiscuir nos negócios privados e definir políticas específicas de apoio a este ou a aquele segmento produtivo (com tudo o que isto pode implicar de sustentação da ordem patrimonial não-especificamente-capitalista), o governo central deve ser um exemplo de austeridade e isenção. Para além de manter a ordem e salvaguardar a propriedade, sua função precípua no plano econômico será lutar pela estabilidade da moeda e do câmbio e pelo acesso aos mercados externos de bens, serviços e crédito</w:t>
      </w:r>
      <w:r>
        <w:rPr>
          <w:rStyle w:val="Refdenotaderodap"/>
        </w:rPr>
        <w:footnoteReference w:id="37"/>
      </w:r>
      <w:r>
        <w:t xml:space="preserve">. </w:t>
      </w:r>
    </w:p>
    <w:p w:rsidR="00B10D19" w:rsidRDefault="00B10D19" w:rsidP="00B10D19">
      <w:pPr>
        <w:spacing w:before="120" w:after="120" w:line="360" w:lineRule="auto"/>
        <w:ind w:firstLine="540"/>
        <w:jc w:val="both"/>
      </w:pPr>
      <w:r>
        <w:t xml:space="preserve">Feliz ou infelizmente, contudo, o compromisso liberal não se realizará como esperado. E isto não porque o compromisso fosse “para inglês ver”. Nada mais de acordo com os interesses da burguesia cafeicultora de São Paulo do que os princípios da economia darwinista; naquele período, o princípio “salva-se o mais competitivo” significava “salva-se o paulista”. E isto não valia só para o café: valia para a indústria que começa a se instalar com o desenvolvimento de um mercado consumidor assalariado. O </w:t>
      </w:r>
      <w:r>
        <w:lastRenderedPageBreak/>
        <w:t xml:space="preserve">problema é que a economia cafeeira, mesmo em sua versão capitalista, é frágil; e solicita apoio e intervenção pública. Senão vejamos. </w:t>
      </w:r>
    </w:p>
    <w:p w:rsidR="00B10D19" w:rsidRDefault="00B10D19" w:rsidP="00B10D19">
      <w:pPr>
        <w:spacing w:before="120" w:after="120" w:line="360" w:lineRule="auto"/>
        <w:ind w:firstLine="540"/>
        <w:jc w:val="both"/>
      </w:pPr>
      <w:r>
        <w:t xml:space="preserve">O café é um produto de sobremesa de baixo preço e de efeito estimulante, que encontrará demanda crescente entre o operariado e as classes médias ascendentes ao longo do século XIX. A demanda crescente não se verá obstaculizada por qualquer inelasticidade da oferta. Resolvido os problemas dos transportes (com a ferrovia) e da mão-de-obra (com o assalariamento e o apoio público a imigração), a oferta brasileira crescerá, no mínimo, à velocidade da demanda. Não obstante, o crescimento de ambas – demanda e oferta – não se dará de forma equilibrada. Pelo contrário: os desequilíbrios serão fortes e recorrentes. E isto em função das peculiaridades da produção e comercialização desta </w:t>
      </w:r>
      <w:r>
        <w:rPr>
          <w:i/>
        </w:rPr>
        <w:t xml:space="preserve">commodity. </w:t>
      </w:r>
      <w:r>
        <w:t>Tendo em vista o tempo de maturação do cafezal, quando a demanda externa cresce e os preços se elevam, amplia-se a área plantada, mas a quantidade ofertada só cresce a partir do terceiro ano, e atinge sua plenitude no quinto. Ao longo deste tempo, os preços continuam elevados, preservando os estímulos à ampliação do plantio. Quando os novos cafezais vão maturando, é usual observar-se que o plantio foi levado mais longe do que o seria se a ampliação da oferta fosse contemporânea à elevação da demanda. E tende a se manifestar um excesso de oferta.  Como o café é um produto de baixo preço e consumo de massa, sua demanda é marcadamente inelástica</w:t>
      </w:r>
      <w:r>
        <w:rPr>
          <w:rStyle w:val="Refdenotaderodap"/>
        </w:rPr>
        <w:footnoteReference w:id="38"/>
      </w:r>
      <w:r>
        <w:t xml:space="preserve">. De forma que o excesso de oferta só é compensado por uma elevação na quantidade demandada às custas de uma acentuada depressão dos preços e da rentabilidade do negócio cafeeiro em todos os níveis e elos.  </w:t>
      </w:r>
    </w:p>
    <w:p w:rsidR="00B10D19" w:rsidRDefault="00B10D19" w:rsidP="00B10D19">
      <w:pPr>
        <w:spacing w:before="120" w:after="120" w:line="360" w:lineRule="auto"/>
        <w:ind w:firstLine="540"/>
        <w:jc w:val="both"/>
      </w:pPr>
      <w:r>
        <w:t>Esta ciclicidade do preço do café vai se transmitir a toda a economia</w:t>
      </w:r>
      <w:r>
        <w:rPr>
          <w:rStyle w:val="Refdenotaderodap"/>
        </w:rPr>
        <w:footnoteReference w:id="39"/>
      </w:r>
      <w:r>
        <w:t xml:space="preserve">, com desdobramentos para a política econômica. Afinal, se o café é o principal produto de exportação, a variação em seu preço tem forte impacto sobre o ingresso de </w:t>
      </w:r>
      <w:r w:rsidRPr="009837D3">
        <w:rPr>
          <w:b/>
          <w:bCs/>
        </w:rPr>
        <w:t>divisas</w:t>
      </w:r>
      <w:r>
        <w:t xml:space="preserve">, pressionando por uma desvalorização da moeda nacional. Ao aumento da quantidade ofertada e vendida, seguia-se uma queda mais do que proporcional dos preços internacionais. O resultado era um volume absoluto menor de divisas ingressando. Mas a demanda por divisas não se alterava: pelo contrário, ampliava-se com o aumento da produção e do emprego internamente. A estabilização do câmbio passava a depender do </w:t>
      </w:r>
      <w:r>
        <w:lastRenderedPageBreak/>
        <w:t xml:space="preserve">financiamento externo e/ou de uma queda das importações tão rápida e profunda quanto do valor exportado. O que exigiria a adoção de audazes políticas deflacionistas; vale dizer, de políticas de austeridade monetária, redução da liquidez, elevação da taxa de juros e desestímulo a qualquer tipo de investimento. </w:t>
      </w:r>
    </w:p>
    <w:p w:rsidR="00B10D19" w:rsidRDefault="00B10D19" w:rsidP="00B10D19">
      <w:pPr>
        <w:spacing w:before="120" w:after="120" w:line="360" w:lineRule="auto"/>
        <w:ind w:firstLine="540"/>
        <w:jc w:val="both"/>
      </w:pPr>
      <w:r>
        <w:t xml:space="preserve">O problema da adoção de uma tal política é que, na equação fiscal montada pelo PRP e sancionada na Constituição de 1891, as receitas tributárias da União estavam integralmente assentadas no imposto sobre importações. E dado que os dispêndios do Governo são impositivos e não flexíveis no curto prazo (pelo contrário: em situações de crise a demanda por seus serviços é exacerbada), a queda da arrecadação do governo federal levava a novos déficits. Na ausência de um sistema financeiro nacional desenvolvido e sólido, os novos déficits acabavam resolvendo-se no emissionismo e na livre flutuação do câmbio. </w:t>
      </w:r>
    </w:p>
    <w:p w:rsidR="00B10D19" w:rsidRDefault="00B10D19" w:rsidP="00B10D19">
      <w:pPr>
        <w:spacing w:before="120" w:after="120" w:line="360" w:lineRule="auto"/>
        <w:ind w:firstLine="540"/>
        <w:jc w:val="both"/>
      </w:pPr>
      <w:r>
        <w:t xml:space="preserve">Na arguta percepção de Furtado, o apelo à equação “déficit-emissionismo-câmbio flexível” era correto e necessário para a manutenção dos níveis de renda e atividade internos. Afinal, com a desvalorização da moeda nacional a queda dos preços externos do café não se manifestavam com a mesma intensidade nas receitas dos fazendeiros, beneficiadores e comerciantes, que conseguiam pagar os seus principais compromissos monetários. Em particular, sustentava-se o pagamento dos salários dos trabalhadores no setor de exportação, que forneciam a base de demanda da nascente indústria nacional. A idéia é simples, mas tão esclarecedora que vale a pena formalizá-la. </w:t>
      </w:r>
    </w:p>
    <w:p w:rsidR="00B10D19" w:rsidRDefault="00B10D19" w:rsidP="00B10D19">
      <w:pPr>
        <w:spacing w:line="360" w:lineRule="auto"/>
        <w:ind w:firstLine="540"/>
        <w:jc w:val="both"/>
      </w:pPr>
      <w:r>
        <w:t>Seja uma economia cafeeira capitalista. A renda disponível desta economia é</w:t>
      </w:r>
    </w:p>
    <w:p w:rsidR="00B10D19" w:rsidRPr="009F1F35" w:rsidRDefault="00B10D19" w:rsidP="00B10D19">
      <w:pPr>
        <w:spacing w:line="360" w:lineRule="auto"/>
        <w:ind w:firstLine="540"/>
        <w:jc w:val="both"/>
      </w:pPr>
      <w:r w:rsidRPr="009F1F35">
        <w:t>1) Yd = C + I + (G – T) + X – M</w:t>
      </w:r>
    </w:p>
    <w:p w:rsidR="00B10D19" w:rsidRDefault="00B10D19" w:rsidP="00B10D19">
      <w:pPr>
        <w:spacing w:line="360" w:lineRule="auto"/>
        <w:ind w:firstLine="540"/>
        <w:jc w:val="both"/>
      </w:pPr>
      <w:r>
        <w:t>Suponhamos que o consumo dos trabalhadores (Cw) e consumo dos empresários capitalistas (Ck) se diferencie, entre outras determinações, pelo fato de que os bens adquiridos pelos primeiros (alimentos, tecidos, móveis rústicos, utensílios domésticos, material de construção, etc.) são produzidos internamente, enquanto os bens consumidos pelos últimos (tecidos e roupas finas, porcelanas e cristais, móveis e tapeçaria, etc.) são importados. Suponhamos ainda que os bens de capital (máquinas, navios, locomotivas, etc.) também sejam integralmente importados. Se o somatório do consumo capitalista e do investimento igualarem o valor das importações (Ck + I = M), então a renda disponível fica sendo:</w:t>
      </w:r>
    </w:p>
    <w:p w:rsidR="00B10D19" w:rsidRPr="009F1F35" w:rsidRDefault="00B10D19" w:rsidP="00B10D19">
      <w:pPr>
        <w:spacing w:line="360" w:lineRule="auto"/>
        <w:ind w:firstLine="540"/>
        <w:jc w:val="both"/>
      </w:pPr>
      <w:r w:rsidRPr="009F1F35">
        <w:t>2) Yd = Cw + X + (G – T)</w:t>
      </w:r>
    </w:p>
    <w:p w:rsidR="00B10D19" w:rsidRDefault="00B10D19" w:rsidP="00B10D19">
      <w:pPr>
        <w:spacing w:line="360" w:lineRule="auto"/>
        <w:ind w:firstLine="540"/>
        <w:jc w:val="both"/>
      </w:pPr>
      <w:r>
        <w:lastRenderedPageBreak/>
        <w:t>Suponhamos, por fim, que os trabalhadores não poupam, nem tomam crédito, mas consomem a integralidade de seus rendimentos. Seja W estes rendimentos. Dada uma certa distribuição da renda, W é uma determinada percentagem da Yd, que pode ser expressa o w. Formalmente:</w:t>
      </w:r>
    </w:p>
    <w:p w:rsidR="00B10D19" w:rsidRPr="009F1F35" w:rsidRDefault="00B10D19" w:rsidP="00B10D19">
      <w:pPr>
        <w:spacing w:line="360" w:lineRule="auto"/>
        <w:ind w:firstLine="540"/>
        <w:jc w:val="both"/>
        <w:rPr>
          <w:lang w:val="en-US"/>
        </w:rPr>
      </w:pPr>
      <w:r w:rsidRPr="009F1F35">
        <w:rPr>
          <w:lang w:val="en-US"/>
        </w:rPr>
        <w:t>3) Cw = W</w:t>
      </w:r>
    </w:p>
    <w:p w:rsidR="00B10D19" w:rsidRPr="009F1F35" w:rsidRDefault="00B10D19" w:rsidP="00B10D19">
      <w:pPr>
        <w:spacing w:line="360" w:lineRule="auto"/>
        <w:ind w:firstLine="540"/>
        <w:jc w:val="both"/>
        <w:rPr>
          <w:lang w:val="en-US"/>
        </w:rPr>
      </w:pPr>
      <w:r w:rsidRPr="009F1F35">
        <w:rPr>
          <w:lang w:val="en-US"/>
        </w:rPr>
        <w:t>4) W / Yd = w, donde</w:t>
      </w:r>
    </w:p>
    <w:p w:rsidR="00B10D19" w:rsidRPr="009F1F35" w:rsidRDefault="00B10D19" w:rsidP="00B10D19">
      <w:pPr>
        <w:spacing w:line="360" w:lineRule="auto"/>
        <w:ind w:firstLine="540"/>
        <w:jc w:val="both"/>
        <w:rPr>
          <w:lang w:val="en-US"/>
        </w:rPr>
      </w:pPr>
      <w:r w:rsidRPr="009F1F35">
        <w:rPr>
          <w:lang w:val="en-US"/>
        </w:rPr>
        <w:t>5) w Yd = Cw</w:t>
      </w:r>
    </w:p>
    <w:p w:rsidR="00B10D19" w:rsidRDefault="00B10D19" w:rsidP="00B10D19">
      <w:pPr>
        <w:spacing w:line="360" w:lineRule="auto"/>
        <w:ind w:firstLine="540"/>
        <w:jc w:val="both"/>
      </w:pPr>
      <w:r>
        <w:t xml:space="preserve">Se chamamos de lucro (P) ao conjunto do valor agregado que excede a massa salarial após o pagamento de impostos, ele fica definido, no nosso sistema pela soma do valor das exportações (de café) mais o déficit governamental. </w:t>
      </w:r>
    </w:p>
    <w:p w:rsidR="00B10D19" w:rsidRPr="009F1F35" w:rsidRDefault="00B10D19" w:rsidP="00B10D19">
      <w:pPr>
        <w:spacing w:line="360" w:lineRule="auto"/>
        <w:ind w:firstLine="540"/>
        <w:jc w:val="both"/>
      </w:pPr>
      <w:r w:rsidRPr="009F1F35">
        <w:t>6) Yd – W = P = X + (G – T)</w:t>
      </w:r>
    </w:p>
    <w:p w:rsidR="00B10D19" w:rsidRDefault="00B10D19" w:rsidP="00B10D19">
      <w:pPr>
        <w:spacing w:line="360" w:lineRule="auto"/>
        <w:ind w:firstLine="540"/>
        <w:jc w:val="both"/>
      </w:pPr>
      <w:r>
        <w:t>E a renda disponível fica determinada pelas duas variáveis de demanda autônoma (X e G), pela tributação T, e pela participação do salário na renda (que define o multiplicador, ocupando o papel da propensão marginal a consumir no sistema keynesiano tradicional).</w:t>
      </w:r>
    </w:p>
    <w:p w:rsidR="00B10D19" w:rsidRDefault="00B10D19" w:rsidP="00B10D19">
      <w:pPr>
        <w:spacing w:line="360" w:lineRule="auto"/>
        <w:ind w:firstLine="540"/>
        <w:jc w:val="both"/>
        <w:rPr>
          <w:lang w:val="en-US"/>
        </w:rPr>
      </w:pPr>
      <w:r>
        <w:rPr>
          <w:lang w:val="en-US"/>
        </w:rPr>
        <w:t>7) Yd – wYd = Yd (1 – w) = X + (G – T)</w:t>
      </w:r>
    </w:p>
    <w:p w:rsidR="00B10D19" w:rsidRPr="009F1F35" w:rsidRDefault="00B10D19" w:rsidP="00B10D19">
      <w:pPr>
        <w:spacing w:line="360" w:lineRule="auto"/>
        <w:ind w:firstLine="540"/>
        <w:jc w:val="both"/>
      </w:pPr>
      <w:r w:rsidRPr="009F1F35">
        <w:t>8) Yd = (X + G – T) / (1 – w)</w:t>
      </w:r>
    </w:p>
    <w:p w:rsidR="00B10D19" w:rsidRDefault="00B10D19" w:rsidP="00B10D19">
      <w:pPr>
        <w:spacing w:line="360" w:lineRule="auto"/>
        <w:ind w:firstLine="540"/>
        <w:jc w:val="both"/>
      </w:pPr>
      <w:r>
        <w:t xml:space="preserve">Mantida a paridade cambial, com a queda no valor das exportações, mesmo se fosse alcançada uma queda concomitante das importações (leia-se: do consumo capitalista e dos investimentos), a queda da renda disponível e do nível de atividade seria brutal. Com as desvalorizações e o apelo ao déficit, o governo sustenta a solvência empresarial e mantém o nível de atividade da economia. Não porque planeja fazê-lo, ou para contemporizar com os fazendeiros e exportadores. Senão todos, pelo menos os mais competitivos – leia-se: os paulistas desbravadores do Oeste – sobreviveriam ao baque. Além disso, como os bens de consumo capitalista e os bens de investimento são, essencialmente, bens importados (que têm seus preços elevados pela desvalorização da moeda nacional), o poder de compra real da classe proprietária é fortemente deprimido com as desvalorizações cambiais. </w:t>
      </w:r>
    </w:p>
    <w:p w:rsidR="00B10D19" w:rsidRDefault="00B10D19" w:rsidP="00B10D19">
      <w:pPr>
        <w:spacing w:line="360" w:lineRule="auto"/>
        <w:ind w:firstLine="540"/>
        <w:jc w:val="both"/>
      </w:pPr>
      <w:r>
        <w:t xml:space="preserve">Diferentemente, o poder de compra dos trabalhadores – que demandam fundamentalmente produtos fabricados localmente – pouco se altera. Neste sentido – e ao contrário do que defendeu Furtado (1984, p. 165) -, a defesa da lavoura pelas desvalorizações cambiais tinha efeitos benéficos no plano da distribuição da renda real </w:t>
      </w:r>
      <w:r>
        <w:lastRenderedPageBreak/>
        <w:t>entre trabalhadores e capitalistas</w:t>
      </w:r>
      <w:r>
        <w:rPr>
          <w:rStyle w:val="Refdenotaderodap"/>
        </w:rPr>
        <w:footnoteReference w:id="40"/>
      </w:r>
      <w:r>
        <w:t>. A tão famosa socialização das perdas imposta pelo setor cafeeiro com as desvalorizações se dava, de fato, sobre os importadores em geral, sobre os consumidores de bens importados (e de baixa substituição) e sobre os endividados em moeda estrangeira. Dentre os segmentos proprietários, os únicos rigorosamente beneficiados pela desvalorização monetária são os produtores de bens de consumo para o mercado interno; sejam eles vinculados à agropecuária (açúcar e carne de sol do nordeste; charque, banha trigo e vinho do Rio Grande do Sul; hortifrutigranjeiros das regiões não-cafeicultoras do leste paulista, etc.), sejam vinculados à indústria têxtil e alimentícia, que vêem a demanda interna crescer e a concorrência externa diminuir nos períodos de “crise”</w:t>
      </w:r>
      <w:r>
        <w:rPr>
          <w:rStyle w:val="Refdenotaderodap"/>
        </w:rPr>
        <w:footnoteReference w:id="41"/>
      </w:r>
      <w:r>
        <w:t xml:space="preserve">. </w:t>
      </w:r>
    </w:p>
    <w:p w:rsidR="00B10D19" w:rsidRDefault="00B10D19" w:rsidP="00B10D19">
      <w:pPr>
        <w:spacing w:line="360" w:lineRule="auto"/>
        <w:ind w:firstLine="540"/>
        <w:jc w:val="both"/>
      </w:pPr>
      <w:r>
        <w:t xml:space="preserve">Não é de se estranhar, pois, que, a despeito da recorrência da equação “déficit–emissionismo-desvalorização”, ela parecesse tão indigesta aos gestores públicos e financistas da época. Se ela se impõe, não é pela sua consistência com o projeto político e econômico da Primeira República, mas porque a radicalidade das flutuações de preço do café e da disponibilidade de divisas assim o exige. </w:t>
      </w:r>
    </w:p>
    <w:p w:rsidR="00B10D19" w:rsidRDefault="00B10D19" w:rsidP="00B10D19">
      <w:pPr>
        <w:spacing w:line="360" w:lineRule="auto"/>
        <w:ind w:firstLine="540"/>
        <w:jc w:val="both"/>
      </w:pPr>
      <w:r>
        <w:t>Não obstante, sequer este remédio – tão amargo para as veleidades liberais da jovem República e para a equação política federativa - será suficiente. E isto na medida em que, a despeito de ser uma república cafeeira, o Brasil não se reduz ao café. Com a elevação da demanda, dos preços e da produção de borracha no início do século XX, e com o aprofundamento da extroversão produtiva e financeira britânica, o afluxo de moeda forte para o Brasil vai determinar uma forte valorização da moeda nacional</w:t>
      </w:r>
      <w:r>
        <w:rPr>
          <w:rStyle w:val="Refdenotaderodap"/>
        </w:rPr>
        <w:footnoteReference w:id="42"/>
      </w:r>
      <w:r>
        <w:t xml:space="preserve">. Uma valorização que irá coincidir com a depressão dos preços do café após anos de continuada expansão do plantio. Em 1906 prevê-se uma colheita em torno de 20 milhões de sacas, enquanto a demanda internacional para o café brasileiro havia estagnado pouco abaixo dos 15 milhões de sacas. </w:t>
      </w:r>
    </w:p>
    <w:p w:rsidR="00B10D19" w:rsidRDefault="00B10D19" w:rsidP="00B10D19">
      <w:pPr>
        <w:spacing w:line="360" w:lineRule="auto"/>
        <w:ind w:firstLine="540"/>
        <w:jc w:val="both"/>
      </w:pPr>
      <w:r>
        <w:t xml:space="preserve">A solução encontrada para o impasse foi o Convênio de Taubaté, de 1906, em que os Estados cafeicultores se comprometiam com a compra e recolhimento dos estoques </w:t>
      </w:r>
      <w:r>
        <w:lastRenderedPageBreak/>
        <w:t xml:space="preserve">excedentes, com base no apoio financeiro dos grandes importadores externos e no lançamento de novos impostos sobre a exportação e o plantio de novos cafezais. Pressionado por uma forte oposição no Congresso articulada pelos Estados não cafeeiros, o governo federal ficará fora desta primeira intervenção anti-ortodoxa.  Mas já em 1907, uma breve, mas grave, crise financeira externa impediu a rolagem dos créditos dos importadores, obrigando o ingresso do governo nacional no programa de valorização. </w:t>
      </w:r>
    </w:p>
    <w:p w:rsidR="00B10D19" w:rsidRDefault="00B10D19" w:rsidP="00B10D19">
      <w:pPr>
        <w:spacing w:before="120" w:after="120" w:line="360" w:lineRule="auto"/>
        <w:ind w:firstLine="540"/>
        <w:jc w:val="both"/>
      </w:pPr>
      <w:r>
        <w:t>O golpe sofrido pelo pacto oligárquico-liberal com a adoção da política de valorização e garantia de rentabilidade do café vai se aprofundar com o passar do tempo. E isto na medida em que o sucesso da política alimenta a sua perenização e aprofundamento. Vale dizer: conquistada a elevação dos preços e da rentabilidade com o recolhimento dos estoques, novos plantios são estimulados no Brasil (malgrados as ineficazes sanções) e no exterior; o que gera a necessidade de novos movimentos de retenção de excedentes. Na safra 29/30, a produção atinge a marca histórica de 29 milhões de sacas, mas as exportações não chegam a 14 milhões. E nem assim se alcança impedir a queda do preço do produto, dadas as pressões associadas aos estoques vultosos e a profundidade da crise econômica internacional. O enfretamento deste quadro exigirá o aprofundamento e remodelagem das políticas públicas de sustentação da renda e do nível de atividade internas. Mas este movimento não poderá se dar dentro da equação política da República Velha. Antes de avançarmos para a análise do significado histórico da Revolução de 30, contudo, é preciso analisar as características e limites do processo de industrialização</w:t>
      </w:r>
      <w:r>
        <w:rPr>
          <w:rStyle w:val="Refdenotaderodap"/>
        </w:rPr>
        <w:footnoteReference w:id="43"/>
      </w:r>
      <w:r>
        <w:t xml:space="preserve"> nacional inaugurado com a emergência e consolidação da economia cafeeira assalariada. </w:t>
      </w:r>
    </w:p>
    <w:p w:rsidR="00B10D19" w:rsidRDefault="00B10D19" w:rsidP="00B10D19">
      <w:pPr>
        <w:spacing w:before="120" w:after="120" w:line="360" w:lineRule="auto"/>
        <w:ind w:firstLine="540"/>
        <w:jc w:val="both"/>
      </w:pPr>
      <w:r>
        <w:t xml:space="preserve">Como vimos acima, ao modelarmos a reprodução da economia cafeeira capitalista brasileira, a introdução do assalariamento vai alavancar a produção mercantil interna de bens de consumo dos trabalhadores. E isto não porque (como já se argumentou) a economia escravista não gerasse uma demanda expressiva para bens de consumo; mas porque, no escravismo, esta demanda tende a ser atendida, ou pela produção de subsistência do próprio latifúndio, ou por agentes atacadistas que – usualmente vinculados ao comércio de importação e exportação – a deslocam para fora do país. </w:t>
      </w:r>
      <w:r>
        <w:lastRenderedPageBreak/>
        <w:t>Afinal, o escravismo virtualmente inviabiliza a produção mercantil e industrial de tais bens. Até mesmo quando os custos de transporte inerentes à importação são tão elevados que a produção interna tende a ser menos custosa sob qualquer relação de produção</w:t>
      </w:r>
      <w:r>
        <w:rPr>
          <w:rStyle w:val="Refdenotaderodap"/>
        </w:rPr>
        <w:footnoteReference w:id="44"/>
      </w:r>
      <w:r>
        <w:t xml:space="preserve">. E isto na medida em que, para além dos elevados custos com a </w:t>
      </w:r>
      <w:r>
        <w:rPr>
          <w:b/>
        </w:rPr>
        <w:t>compra</w:t>
      </w:r>
      <w:r>
        <w:t xml:space="preserve"> da mão-de-obra, a escravidão inviabiliza que os custos com a </w:t>
      </w:r>
      <w:r>
        <w:rPr>
          <w:b/>
        </w:rPr>
        <w:t>reprodução</w:t>
      </w:r>
      <w:r>
        <w:t xml:space="preserve"> da mesma sejam deprimidos em períodos de depressão: não se pode demitir o escravo. É esta possibilidade de demissão – de só arcar com o “peso” da reprodução da força-de-trabalho quando a mesma é útil à valorização – que empresta “racionalidade instrumental” ao assalariamento. Na verdade, ao contrário da agricultura, a produção industrial apresenta pouca flexibilidade, e não é passível de conversão para a subsistência em períodos de crise. Por oposição, o assalariamento não apenas pulveriza a demanda interna, estimulando o comércio a varejo e o artesanato, como viabiliza diretamente a produção industrial ao deprimir os custos de estabelecimento e rompimento das relações de trabalho. </w:t>
      </w:r>
    </w:p>
    <w:p w:rsidR="00B10D19" w:rsidRDefault="00B10D19" w:rsidP="00B10D19">
      <w:pPr>
        <w:spacing w:before="120" w:after="120" w:line="360" w:lineRule="auto"/>
        <w:ind w:firstLine="540"/>
        <w:jc w:val="both"/>
      </w:pPr>
      <w:r>
        <w:t xml:space="preserve">Mas se a relação salarial é condição </w:t>
      </w:r>
      <w:r w:rsidRPr="00966BDD">
        <w:rPr>
          <w:b/>
          <w:bCs/>
        </w:rPr>
        <w:t>necessária</w:t>
      </w:r>
      <w:r>
        <w:t xml:space="preserve"> à industrialização capitalista, ela não é condição </w:t>
      </w:r>
      <w:r w:rsidRPr="00966BDD">
        <w:rPr>
          <w:b/>
          <w:bCs/>
        </w:rPr>
        <w:t>suficiente</w:t>
      </w:r>
      <w:r>
        <w:t xml:space="preserve">. A emergência de uma produção industrial tem ainda pelo menos dois outros requisitos: 1) um mercado interno suficientemente amplo para comportar a escala mínima competitiva das plantas industriais nos diversos segmentos; 2) um agente social apto e disposto a ingressar em setores novos, cujas tecnologias de produção, padrões competitivos e riscos financeiros são pouco conhecidos. </w:t>
      </w:r>
    </w:p>
    <w:p w:rsidR="00B10D19" w:rsidRDefault="00B10D19" w:rsidP="00B10D19">
      <w:pPr>
        <w:spacing w:before="120" w:after="120" w:line="360" w:lineRule="auto"/>
        <w:ind w:firstLine="540"/>
        <w:jc w:val="both"/>
      </w:pPr>
      <w:r>
        <w:t xml:space="preserve">No que diz respeito ao primeiro requisito, a economia cafeeira capitalista brasileira apresenta limitações evidentes. A transição do escravismo para a ordem assalariada não se fez acompanhar de qualquer política de distribuição da propriedade ou geração de emprego e renda para os emancipados. Pelo contrário: esta transição se desdobra em políticas de imigração subsidiada, que contribuem para o estabelecimento de uma baixa taxa de salário, deprimindo o poder de compra da mão-de-obra e o mercado interno para a produção de massa. Ao mesmo tempo, a manutenção da estrutura fundiária concentrada, limita o número dos consumidores de altas rendas, restringindo o mercado interno para bens de luxo e alavancando a capacidade dos consumidores dos mesmos em arcar com os elevados custos de fretes, tarifas e câmbio. E se a demanda por bens finais de consumo é limitada, a demanda por máquinas e demais componentes do capital fixo da produção </w:t>
      </w:r>
      <w:r>
        <w:lastRenderedPageBreak/>
        <w:t xml:space="preserve">industrial – que sequer é contínua, mas dependente da depreciação dos equipamentos – o será mais ainda.    </w:t>
      </w:r>
    </w:p>
    <w:p w:rsidR="00B10D19" w:rsidRDefault="00B10D19" w:rsidP="00B10D19">
      <w:pPr>
        <w:spacing w:before="120" w:after="120" w:line="360" w:lineRule="auto"/>
        <w:ind w:firstLine="540"/>
        <w:jc w:val="both"/>
      </w:pPr>
      <w:r>
        <w:t xml:space="preserve">Não bastassem as limitações de demanda, o nosso primeiro movimento de industrialização vai ser circunscrito por determinações de ordem tecnológica, competitiva e financeira. Ambientada com o comércio e o transporte desde suas origens “tropeiras”, e apoiada na extroversão imperialista da burguesia inglesa na transição do século XIX para o XX, a burguesia cafeeira conseguiu transitar da lavoura para o setor de serviços; ingressando nos negócios ferroviários, imobiliários, financeiros, portuários, e nos mais diversos serviços industriais de utilidade pública. Mas a transição para a produção propriamente industrial é um movimento bem mais complexo. Em primeiro lugar, em função da velocidade do progresso técnico que caracteriza a indústria de transformação </w:t>
      </w:r>
      <w:r>
        <w:rPr>
          <w:i/>
        </w:rPr>
        <w:t xml:space="preserve">vis-à-vis </w:t>
      </w:r>
      <w:r>
        <w:t>os demais segmentos produtivos que instabiliza o grau de monopólio e as margens de rentabilidade dos negócios industriais</w:t>
      </w:r>
      <w:r>
        <w:rPr>
          <w:rStyle w:val="Refdenotaderodap"/>
        </w:rPr>
        <w:footnoteReference w:id="45"/>
      </w:r>
      <w:r>
        <w:t>. Um problema que será amplificado pelo atraso da nossa primeira industrialização (que se realizará quando as economias centrais vivem a chamada Segunda Revolução Industrial, baseada na eletricidade e no motor à explosão interna) e pela instabilidade cambial que vai caracterizar a economia brasileira do período. Afinal, se a lavoura pode administrar os riscos do câmbio apelando à diversificação (ou mesmo, eventualmente, à autarquização) e os serviços usualmente se protegem apelando para o seu poder de monopólio estrutural (os serviços não são importáveis), a indústria, cronicamente submetida à concorrência externa, fica particularmente vulnerável a cada movimento de valorização monetária (quando os produtos importados ficam mais baratos), sem deixar de correr riscos com a desvalorização (quando seus custos com insumos importados se elevam).</w:t>
      </w:r>
    </w:p>
    <w:p w:rsidR="00B10D19" w:rsidRDefault="00B10D19" w:rsidP="00B10D19">
      <w:pPr>
        <w:spacing w:before="120" w:after="120" w:line="360" w:lineRule="auto"/>
        <w:ind w:firstLine="540"/>
        <w:jc w:val="both"/>
      </w:pPr>
      <w:r>
        <w:t xml:space="preserve">O caráter arriscado e especulativo da indústria em seus primórdios solicitava um agente com características muito especiais. Em primeiro lugar, ele não deveria ter vínculos suficientemente fortes com o complexo cafeeiro propriamente dito, ou não abandonaria os setores mais lucrativos e seguros em prol da indústria. Além disso, ele deveria ter um sólido conhecimento do mercado interno e do mercado de câmbio e algum domínio de tecnologia industrial. Por fim, ele deveria contar com alguma espécie de “seguro” (ou </w:t>
      </w:r>
      <w:r>
        <w:rPr>
          <w:i/>
        </w:rPr>
        <w:t>hedge</w:t>
      </w:r>
      <w:r>
        <w:t>)</w:t>
      </w:r>
      <w:r>
        <w:rPr>
          <w:i/>
        </w:rPr>
        <w:t xml:space="preserve"> </w:t>
      </w:r>
      <w:r>
        <w:t xml:space="preserve">para as atividades manufatureiras. Para Warren Dean, este agente será o imigrante com algum capital, que se beneficia de seus vínculos com o exterior para </w:t>
      </w:r>
      <w:r>
        <w:lastRenderedPageBreak/>
        <w:t xml:space="preserve">ingressar nas atividades de importação. Mais do que ninguém, ele será o agente apto a avaliar se o mercado nacional para bens industriais já cresceu (ou tende a crescer) o suficiente para viabilizar movimentos de substituição de importações. Responsável pela importação de máquinas (que, usualmente, são transportadas em partes, e montadas no país de destino), o importador tem acesso fácil aos fornecedores das mesmas, conhece seus preços, é capaz de diferenciar a qualidade e durabilidade das mesmas e domina os rudimentos da sua montagem e manutenção. Além disso, conta com os recursos financeiros (ou, pelo menos, com as garantias necessárias para levantá-los junto a bancos e fornecedores) necessários ao ingresso no empreendimento industrial. E, por fim, atua num negócio – a importação – que funciona como um </w:t>
      </w:r>
      <w:r>
        <w:rPr>
          <w:i/>
        </w:rPr>
        <w:t xml:space="preserve">hedge </w:t>
      </w:r>
      <w:r>
        <w:t xml:space="preserve">da produção industrial: em períodos em que a moeda nacional se encontra desvalorizada, as importações tornam-se proibitivas e a rentabilidade industrial cresce; nos períodos de valorização da moeda nacional, a rentabilidade industrial cai, mas o negócio importador viceja e compensa as perdas produtivas. </w:t>
      </w:r>
    </w:p>
    <w:p w:rsidR="00B10D19" w:rsidRDefault="00B10D19" w:rsidP="00B10D19">
      <w:pPr>
        <w:spacing w:before="120" w:after="120" w:line="360" w:lineRule="auto"/>
        <w:ind w:firstLine="540"/>
        <w:jc w:val="both"/>
      </w:pPr>
      <w:r>
        <w:t xml:space="preserve">Ora, não contássemos com esta figura empresarial e, muito provavelmente, a industrialização de São Paulo (e, por extensão, do Brasil) não teria ido tão longe. Mas os vínculos de origem do nosso empresário industrial padrão com os negócios de importação vão impor sérios limites à diversificação interna do parque industrial. Em particular, os vínculos do nosso industrial típico com os negócios de importação vão refrear a internalização de um amplo conjunto de elos à montante da cadeia produtiva, </w:t>
      </w:r>
      <w:r w:rsidRPr="00966BDD">
        <w:rPr>
          <w:b/>
          <w:bCs/>
        </w:rPr>
        <w:t>e a indústria nacional nascerá e crescerá sem endogeneizar um setor produtor de máquinas e demais meios de produção</w:t>
      </w:r>
      <w:r>
        <w:t xml:space="preserve">. O resultado – explícito na equação final da nossa formalização do modelo de Furtado – é que a renda interna passa a ser função duas únicas variáveis de gasto que incidem sobre a produção interna: as exportações (mormente de café) e os gastos governamentais, e da distribuição da renda entre salários e lucros. </w:t>
      </w:r>
    </w:p>
    <w:p w:rsidR="00B10D19" w:rsidRPr="009F1F35" w:rsidRDefault="00B10D19" w:rsidP="00B10D19">
      <w:pPr>
        <w:spacing w:before="120" w:after="120" w:line="360" w:lineRule="auto"/>
        <w:ind w:firstLine="540"/>
        <w:jc w:val="both"/>
      </w:pPr>
      <w:r w:rsidRPr="009F1F35">
        <w:t>8) Yd = (X + G – T) / (1 – w)</w:t>
      </w:r>
    </w:p>
    <w:p w:rsidR="00B10D19" w:rsidRDefault="00B10D19" w:rsidP="00B10D19">
      <w:pPr>
        <w:spacing w:before="120" w:after="120" w:line="360" w:lineRule="auto"/>
        <w:ind w:firstLine="540"/>
        <w:jc w:val="both"/>
      </w:pPr>
      <w:r>
        <w:t xml:space="preserve">Se representarmos esta economia nos termos das equações marxo-kaleckianas de reprodução (Kalecki, 1977), o que temos é um sistema em que os Departamentos 1 (produtor de bens de capital) e 2 (produtor de bens de consumo capitalista) não alcançam se internalizar, tendo suas funções ocupadas por um Departamento Exportador (Dx), responsável pela geração das divisas necessárias à compra no exterior dos bens não </w:t>
      </w:r>
      <w:r>
        <w:lastRenderedPageBreak/>
        <w:t>produzidos internamente</w:t>
      </w:r>
      <w:r>
        <w:rPr>
          <w:rStyle w:val="Refdenotaderodap"/>
        </w:rPr>
        <w:footnoteReference w:id="46"/>
      </w:r>
      <w:r>
        <w:t>. Além disso, constitui-se um Departamento produtor de Bens Salário (D3), que é relativamente pequeno em função da reduzida participação dos salários na renda. As relações entre estes dois Departamentos são facilmente visualizadas se retomamos as equações anteriores e as simplificamos ainda mais com a introdução da suposição de equilíbrio fiscal (G – T = 0). Neste caso:</w:t>
      </w:r>
    </w:p>
    <w:p w:rsidR="00B10D19" w:rsidRDefault="00B10D19" w:rsidP="00B10D19">
      <w:pPr>
        <w:spacing w:before="120" w:after="120" w:line="360" w:lineRule="auto"/>
        <w:ind w:firstLine="540"/>
        <w:jc w:val="both"/>
      </w:pPr>
      <w:r>
        <w:t>9) Yd = P + W = X + Cw</w:t>
      </w:r>
    </w:p>
    <w:p w:rsidR="00B10D19" w:rsidRDefault="00B10D19" w:rsidP="00B10D19">
      <w:pPr>
        <w:spacing w:before="120" w:after="120" w:line="360" w:lineRule="auto"/>
        <w:ind w:firstLine="540"/>
        <w:jc w:val="both"/>
      </w:pPr>
      <w:r>
        <w:t xml:space="preserve">Mas Yd também corresponde ao valor agregado nos dois departamentos, que, por hipótese se reduz a lucros e salários. De forma que: </w:t>
      </w:r>
    </w:p>
    <w:p w:rsidR="00B10D19" w:rsidRDefault="00B10D19" w:rsidP="00B10D19">
      <w:pPr>
        <w:spacing w:before="120" w:after="120" w:line="360" w:lineRule="auto"/>
        <w:ind w:firstLine="540"/>
        <w:jc w:val="both"/>
      </w:pPr>
      <w:r>
        <w:t xml:space="preserve">10) Dx = Px + Wx   </w:t>
      </w:r>
    </w:p>
    <w:p w:rsidR="00B10D19" w:rsidRDefault="00B10D19" w:rsidP="00B10D19">
      <w:pPr>
        <w:spacing w:before="120" w:after="120" w:line="360" w:lineRule="auto"/>
        <w:ind w:firstLine="540"/>
        <w:jc w:val="both"/>
      </w:pPr>
      <w:r>
        <w:t>11) D3 = P3 + W3</w:t>
      </w:r>
    </w:p>
    <w:p w:rsidR="00B10D19" w:rsidRDefault="00B10D19" w:rsidP="00B10D19">
      <w:pPr>
        <w:spacing w:before="120" w:after="120" w:line="360" w:lineRule="auto"/>
        <w:ind w:firstLine="540"/>
        <w:jc w:val="both"/>
      </w:pPr>
      <w:r>
        <w:t>E como D3 produz apenas bens salário e os trabalhadores não poupam:</w:t>
      </w:r>
    </w:p>
    <w:p w:rsidR="00B10D19" w:rsidRPr="009F1F35" w:rsidRDefault="00B10D19" w:rsidP="00B10D19">
      <w:pPr>
        <w:spacing w:before="120" w:after="120" w:line="360" w:lineRule="auto"/>
        <w:ind w:firstLine="540"/>
        <w:jc w:val="both"/>
      </w:pPr>
      <w:r w:rsidRPr="009F1F35">
        <w:t>12) D3 = Cw = W = Wx + W3</w:t>
      </w:r>
    </w:p>
    <w:p w:rsidR="00B10D19" w:rsidRDefault="00B10D19" w:rsidP="00B10D19">
      <w:pPr>
        <w:spacing w:before="120" w:after="120" w:line="360" w:lineRule="auto"/>
        <w:ind w:firstLine="540"/>
        <w:jc w:val="both"/>
      </w:pPr>
      <w:r>
        <w:t xml:space="preserve">De 11 e de 12 temos que: </w:t>
      </w:r>
    </w:p>
    <w:p w:rsidR="00B10D19" w:rsidRPr="009F1F35" w:rsidRDefault="00B10D19" w:rsidP="00B10D19">
      <w:pPr>
        <w:spacing w:before="120" w:after="120" w:line="360" w:lineRule="auto"/>
        <w:ind w:firstLine="540"/>
        <w:jc w:val="both"/>
      </w:pPr>
      <w:r w:rsidRPr="009F1F35">
        <w:t>13) P3 + W3 = Wx + W3</w:t>
      </w:r>
    </w:p>
    <w:p w:rsidR="00B10D19" w:rsidRDefault="00B10D19" w:rsidP="00B10D19">
      <w:pPr>
        <w:spacing w:before="120" w:after="120" w:line="360" w:lineRule="auto"/>
        <w:ind w:firstLine="540"/>
        <w:jc w:val="both"/>
      </w:pPr>
      <w:r>
        <w:t>E, portanto, que:</w:t>
      </w:r>
    </w:p>
    <w:p w:rsidR="00B10D19" w:rsidRPr="000E5E4E" w:rsidRDefault="00B10D19" w:rsidP="00B10D19">
      <w:pPr>
        <w:spacing w:before="120" w:after="120" w:line="360" w:lineRule="auto"/>
        <w:ind w:firstLine="540"/>
        <w:jc w:val="both"/>
        <w:rPr>
          <w:b/>
          <w:bCs/>
        </w:rPr>
      </w:pPr>
      <w:r w:rsidRPr="000E5E4E">
        <w:rPr>
          <w:b/>
          <w:bCs/>
        </w:rPr>
        <w:t xml:space="preserve">14) P3 = Wx </w:t>
      </w:r>
    </w:p>
    <w:p w:rsidR="00B10D19" w:rsidRDefault="00B10D19" w:rsidP="00B10D19">
      <w:pPr>
        <w:spacing w:before="120" w:after="120" w:line="360" w:lineRule="auto"/>
        <w:ind w:firstLine="540"/>
        <w:jc w:val="both"/>
      </w:pPr>
      <w:r w:rsidRPr="000E5E4E">
        <w:rPr>
          <w:b/>
          <w:bCs/>
        </w:rPr>
        <w:t>Em suma: os lucros do departamento produtor de bens salário – e, por conseqüência de nossa trajetória peculiar de industrialização, os lucros de virtualmente toda a indústria nacional – são função direta dos salários pagos no setor de exportação.</w:t>
      </w:r>
      <w:r>
        <w:t xml:space="preserve"> Ou, para ser ainda mais claro: na medida em que o processo de industrialização da Primeira República não conduziu à internalização dos departamentos produtores de bens de capital e de bens de consumo durável, ele se realiza sem pôr as bases de uma efetiva autonomização da dinâmica industrial </w:t>
      </w:r>
      <w:r>
        <w:rPr>
          <w:i/>
        </w:rPr>
        <w:t xml:space="preserve">vis-à-vis </w:t>
      </w:r>
      <w:r>
        <w:t xml:space="preserve">a dinâmica do setor exportador. E como os Estados periféricos à equação cafeeira não conseguiram consolidar novos núcleos exportadores sólidos (a despeito do fugaz ciclo da borracha) e, pelo contrário, na esteira do Rio Grande do Sul e do nordeste açucareiro, direcionam sua </w:t>
      </w:r>
      <w:r>
        <w:lastRenderedPageBreak/>
        <w:t xml:space="preserve">produção crescentemente para o atendimento do mercado doméstico de bens salário, </w:t>
      </w:r>
      <w:r>
        <w:rPr>
          <w:b/>
        </w:rPr>
        <w:t xml:space="preserve">a dinâmica da economia nacional se vê, na crise mundial e cafeeira de 29/30, tão dependente das exportações de café quanto no ocaso do Império. </w:t>
      </w:r>
      <w:r>
        <w:t>Uma contradição real cujo enfrentamento vai solicitar um novo ordenamento político e uma nova política econômica.</w:t>
      </w:r>
    </w:p>
    <w:p w:rsidR="00B10D19" w:rsidRPr="009F3E4E" w:rsidRDefault="00B10D19" w:rsidP="00B10D19">
      <w:pPr>
        <w:spacing w:before="120" w:after="120" w:line="360" w:lineRule="auto"/>
        <w:jc w:val="center"/>
        <w:rPr>
          <w:b/>
          <w:sz w:val="28"/>
          <w:szCs w:val="28"/>
        </w:rPr>
      </w:pPr>
      <w:r>
        <w:br w:type="page"/>
      </w:r>
      <w:r w:rsidRPr="009F3E4E">
        <w:rPr>
          <w:b/>
          <w:sz w:val="28"/>
          <w:szCs w:val="28"/>
        </w:rPr>
        <w:lastRenderedPageBreak/>
        <w:t>II.2 ECONOMIA BRASILEIRA CONTEMPORÂNEA</w:t>
      </w:r>
    </w:p>
    <w:p w:rsidR="00B10D19" w:rsidRPr="009F3E4E" w:rsidRDefault="00B10D19" w:rsidP="00B10D19">
      <w:pPr>
        <w:spacing w:before="120" w:after="120" w:line="360" w:lineRule="auto"/>
        <w:jc w:val="center"/>
        <w:rPr>
          <w:b/>
          <w:bCs/>
          <w:sz w:val="28"/>
          <w:szCs w:val="28"/>
        </w:rPr>
      </w:pPr>
      <w:r w:rsidRPr="009F3E4E">
        <w:rPr>
          <w:b/>
          <w:sz w:val="28"/>
          <w:szCs w:val="28"/>
        </w:rPr>
        <w:t>Capítulo 17</w:t>
      </w:r>
      <w:r w:rsidRPr="009F3E4E">
        <w:rPr>
          <w:b/>
          <w:bCs/>
          <w:sz w:val="28"/>
          <w:szCs w:val="28"/>
        </w:rPr>
        <w:t>. A Economia Brasileira Depois de 1930</w:t>
      </w:r>
    </w:p>
    <w:p w:rsidR="00B10D19" w:rsidRPr="001F2DC7" w:rsidRDefault="00B10D19" w:rsidP="00B10D19">
      <w:pPr>
        <w:spacing w:before="120"/>
        <w:ind w:left="3960"/>
        <w:jc w:val="right"/>
        <w:rPr>
          <w:i/>
        </w:rPr>
      </w:pPr>
      <w:r w:rsidRPr="001F2DC7">
        <w:rPr>
          <w:i/>
        </w:rPr>
        <w:t>“... a industrialização não era apenas um meio de utilizar mão-de-obra redundante, mas essencialmente o instrumento que estava cimentando a nacionalidade</w:t>
      </w:r>
      <w:r>
        <w:rPr>
          <w:i/>
        </w:rPr>
        <w:t>.</w:t>
      </w:r>
      <w:r w:rsidRPr="001F2DC7">
        <w:rPr>
          <w:i/>
        </w:rPr>
        <w:t>”</w:t>
      </w:r>
    </w:p>
    <w:p w:rsidR="00B10D19" w:rsidRPr="001F2DC7" w:rsidRDefault="00B10D19" w:rsidP="00B10D19">
      <w:pPr>
        <w:spacing w:before="120"/>
        <w:ind w:left="3960"/>
        <w:jc w:val="right"/>
      </w:pPr>
      <w:r w:rsidRPr="003A0055">
        <w:rPr>
          <w:b/>
        </w:rPr>
        <w:t>Celso Furtado</w:t>
      </w:r>
      <w:r w:rsidRPr="001F2DC7">
        <w:t>, A Fantasia Organizada</w:t>
      </w:r>
    </w:p>
    <w:p w:rsidR="00B10D19" w:rsidRDefault="00B10D19" w:rsidP="00B10D19">
      <w:pPr>
        <w:spacing w:before="120" w:line="360" w:lineRule="auto"/>
        <w:jc w:val="both"/>
      </w:pPr>
      <w:r>
        <w:rPr>
          <w:b/>
        </w:rPr>
        <w:t>17.1 Introdução</w:t>
      </w:r>
    </w:p>
    <w:p w:rsidR="00B10D19" w:rsidRDefault="00B10D19" w:rsidP="00B10D19">
      <w:pPr>
        <w:spacing w:before="120" w:line="360" w:lineRule="auto"/>
        <w:jc w:val="both"/>
      </w:pPr>
      <w:r>
        <w:tab/>
        <w:t>Entre os anos 1930 e 1980 o Brasil passou por profundas transformações em sua economia e sociedade. Em essência, tais mudanças estruturais foram decorrentes da passagem de uma economia agro-exportadora e de uma sociedade rural para uma economia industrial, moderna e urbanizada. Os EUA eram o paradigma de modernidade com que os países então chamados subdesenvolvidos – ou mesmo muitos países centrais em reconstrução – se defrontaram nos anos que se seguiram a Segunda Grande Guerra Mundial. Aquele país estabelecia os parâmetros produtivos, tecnológicos e os padrões de consumo da sociedade industrial de massas</w:t>
      </w:r>
      <w:r>
        <w:rPr>
          <w:rStyle w:val="Refdenotaderodap"/>
        </w:rPr>
        <w:footnoteReference w:id="47"/>
      </w:r>
      <w:r>
        <w:t>. Aproximar-se destas estruturas tornou-se a meta para os países desejosos de ingressar no seleto grupo das nações desenvolvidas. O grande instrumento que possibilitaria equacionar o problema do atraso econômico e, pensava-se, também, o atraso social, seria a industrialização. Vivia-se em um contexto de negação da visão liberal do mundo e, portanto, de uma maior permissividade à presença ativa do Estado na liderança e coordenação do processo de industrialização.</w:t>
      </w:r>
    </w:p>
    <w:p w:rsidR="00B10D19" w:rsidRDefault="00B10D19" w:rsidP="00B10D19">
      <w:pPr>
        <w:spacing w:before="120" w:line="360" w:lineRule="auto"/>
        <w:jc w:val="both"/>
      </w:pPr>
      <w:r>
        <w:tab/>
        <w:t xml:space="preserve">O Brasil seguiu estes passos. A partir dos anos 1950 empreendeu um esforço consciente de construir uma estrutura produtiva moderna e integrada, aos moldes do padrão norte-americano, beneficiando-se da expansão de grandes grupos transnacionais e da relativa estabilidade da fronteira tecno-produtiva. Ao adentrar nos anos 1980 aquela meta parecia estar concretizada. O país produzia de lingotes de aço a produtos eletro-eletrônicos de consumo de massa, de produtos petroquímicos a automóveis. Tinha uma infra-estrutura moderna e um mercado consumidor de apreciável potencial. Se não havia eliminado as desigualdades sociais herdadas de um passado marcado pelo colonialismo, o latifúndio e a escravidão, pelo menos possuía a possibilidade concreta de romper o subdesenvolvimento e ampliar a homogeneização de sua sociedade. Porém, a crise da </w:t>
      </w:r>
      <w:r>
        <w:lastRenderedPageBreak/>
        <w:t>dívida externa (1982) colocou em xeque o padrão de financiamento do desenvolvimento nacional. Fragilizou o Estado e os mecanismos de política econômica e lançou o país em um prolongado processo de instabilidade macroeconômica e baixo crescimento. O problema da inflação alta e crônica substituiu a idéia de modernização. Combatê-la tornou-se a nova grande meta e o desenvolvimento passou para um segundo plano.</w:t>
      </w:r>
    </w:p>
    <w:p w:rsidR="00B10D19" w:rsidRDefault="00B10D19" w:rsidP="00B10D19">
      <w:pPr>
        <w:spacing w:before="120" w:line="360" w:lineRule="auto"/>
        <w:jc w:val="both"/>
      </w:pPr>
      <w:r>
        <w:tab/>
        <w:t>Como se não bastasse, a fronteira tecno-produtiva, que permaneceu em grande parte estável ao longo das décadas anteriores, deslocou-se “para frente” com a “terceira revolução industrial”, da microeletrônica e biotecnologia. Novas formas de produzir e organizar a produção e novos produtos desafiavam as estruturas produtivas construídas no período anterior. No caso brasileiro, a necessidade de modernizar a economia só iria encontrar uma repercussão generalizada sobre os agentes privados quando, nos anos 1990, a abertura da economia e, portanto, a exposição efetiva à concorrência externa, tornou-se uma realidade.</w:t>
      </w:r>
    </w:p>
    <w:p w:rsidR="00B10D19" w:rsidRDefault="00B10D19" w:rsidP="00B10D19">
      <w:pPr>
        <w:spacing w:before="120" w:line="360" w:lineRule="auto"/>
        <w:jc w:val="both"/>
      </w:pPr>
      <w:r>
        <w:tab/>
        <w:t>É a partir deste pano de fundo que este capítulo procura dar uma visão geral do processo de modernização brasileira. Em uma primeira parte, explora-se a dinâmica da industrialização, enfatizando seus momentos de ruptura estrutural, como o Plano de Metas nos anos 1950, o II Plano Nacional de Desenvolvimento dos anos 1970 e a abertura da economia dos 1990</w:t>
      </w:r>
      <w:r>
        <w:rPr>
          <w:rStyle w:val="Refdenotaderodap"/>
        </w:rPr>
        <w:footnoteReference w:id="48"/>
      </w:r>
      <w:r>
        <w:t xml:space="preserve">. Posteriormente analisa-se o período de instabilidade e baixo crescimento inaugurado com a crise da dívida externa. Por fim faz-se um balanço dos desafios da economia brasileira neste início de século XXI. </w:t>
      </w:r>
    </w:p>
    <w:p w:rsidR="00B10D19" w:rsidRDefault="00B10D19" w:rsidP="00B10D19">
      <w:pPr>
        <w:spacing w:before="120" w:line="360" w:lineRule="auto"/>
        <w:jc w:val="both"/>
      </w:pPr>
    </w:p>
    <w:p w:rsidR="00B10D19" w:rsidRDefault="00B10D19" w:rsidP="00B10D19">
      <w:pPr>
        <w:spacing w:before="120" w:line="360" w:lineRule="auto"/>
        <w:jc w:val="both"/>
        <w:rPr>
          <w:b/>
          <w:bCs/>
        </w:rPr>
      </w:pPr>
      <w:r>
        <w:rPr>
          <w:b/>
          <w:bCs/>
        </w:rPr>
        <w:t>17.2 Principais Etapas do Processo de Industrialização da Economia Brasileira</w:t>
      </w:r>
    </w:p>
    <w:p w:rsidR="00B10D19" w:rsidRDefault="00B10D19" w:rsidP="00B10D19">
      <w:pPr>
        <w:spacing w:before="120" w:line="360" w:lineRule="auto"/>
        <w:jc w:val="both"/>
      </w:pPr>
      <w:r>
        <w:rPr>
          <w:b/>
        </w:rPr>
        <w:t>17.2.1 Antecedentes da Industrialização Pesada</w:t>
      </w:r>
      <w:r>
        <w:rPr>
          <w:rStyle w:val="Refdenotaderodap"/>
          <w:b/>
        </w:rPr>
        <w:footnoteReference w:id="49"/>
      </w:r>
    </w:p>
    <w:p w:rsidR="00B10D19" w:rsidRDefault="00B10D19" w:rsidP="00B10D19">
      <w:pPr>
        <w:spacing w:before="120" w:line="360" w:lineRule="auto"/>
        <w:jc w:val="both"/>
      </w:pPr>
      <w:r>
        <w:tab/>
        <w:t>De um modo geral, a literatura cepalina</w:t>
      </w:r>
      <w:r>
        <w:rPr>
          <w:rStyle w:val="Refdenotaderodap"/>
        </w:rPr>
        <w:footnoteReference w:id="50"/>
      </w:r>
      <w:r>
        <w:t xml:space="preserve"> procura marcar a crise de 1929 como um ponto de ruptura na trajetória de desenvolvimento do Brasil, e das economias latino-americanas como um todo. Tal “choque adverso” teria provocado uma mudança no padrão de crescimento, antes “voltado para fora” (o modelo agro-exportador) e agora </w:t>
      </w:r>
      <w:r>
        <w:lastRenderedPageBreak/>
        <w:t>“voltado para dentro” (com a industrialização). A crise provocou uma queda brusca no preço internacional dos produtos primários exportados pelas economias periféricas, bem como uma contração generalizada na demanda dos países centrais. Os mercados financeiros se contraíram e o financiamento das contas externas tornou-se mais difícil sem o acesso à poupança externa. De forma aparentemente contraditória as políticas domésticas de preservação da demanda e as desvalorizações maciças nas taxas de câmbio geraram um novo ambiente, onde a alteração na estrutura dos preços relativos teria permitido ao Brasil (e a outras economias periféricas) um “ajuste industrializante”. Vale dizer, ter-se-ia que produzir internamente o que antes era importado. Esta produção substitutiva de importações só foi possível devido: (i) a existência de uma demanda prévia, que antes era atendida por importações sustentadas pela renda gerada na exportação de produtos primários – no caso brasileiro, o destaque era o café; (ii) a consolidação anterior de uma estrutura industrial que cresceu sob os estímulos da expansão das atividades primário-exportadoras</w:t>
      </w:r>
      <w:r>
        <w:rPr>
          <w:rStyle w:val="Refdenotaderodap"/>
        </w:rPr>
        <w:footnoteReference w:id="51"/>
      </w:r>
      <w:r>
        <w:t>; e (iii) a sustentação da renda doméstica, por parte do governo, através de políticas contra-cíclicas que, no caso brasileiro, tomaram a forma, principalmente, da compra dos estoques de café, financiada pela emissão monetária.</w:t>
      </w:r>
    </w:p>
    <w:p w:rsidR="00B10D19" w:rsidRDefault="00B10D19" w:rsidP="00B10D19">
      <w:pPr>
        <w:spacing w:before="120" w:line="360" w:lineRule="auto"/>
        <w:jc w:val="both"/>
      </w:pPr>
      <w:r>
        <w:tab/>
        <w:t>Com isso, a partir dos anos 1930 o investimento industrial passaria a ser o componente mais dinâmico da renda nacional, em substituição às exportações de produtos primários</w:t>
      </w:r>
      <w:r>
        <w:rPr>
          <w:rStyle w:val="Refdenotaderodap"/>
        </w:rPr>
        <w:footnoteReference w:id="52"/>
      </w:r>
      <w:r>
        <w:t xml:space="preserve">. Estas continuariam fundamentais, na medida em que gerariam as divisas necessárias às importações das matérias-primas e equipamentos cruciais ao aprofundamento da industrialização. É importante notar que logo após a crise de 1929 tratou-se de crescer com o aproveitamento daquela estrutura industrial já existente. Somente quando sua capacidade ociosa passa a esgotar-se é que teremos uma dinamização dos investimentos, o que ocorre com clareza já no período 1933-39 (Suzigan, 1986: 93). </w:t>
      </w:r>
    </w:p>
    <w:p w:rsidR="00B10D19" w:rsidRDefault="00B10D19" w:rsidP="00B10D19">
      <w:pPr>
        <w:pStyle w:val="Corpodetexto"/>
        <w:spacing w:before="120"/>
      </w:pPr>
      <w:r>
        <w:tab/>
        <w:t xml:space="preserve">Em pouco tempo ocorreram transformações importantes na estrutura produtiva. Entre 1919 e 1939 houve uma queda sensível da participação das importações na oferta interna daqueles setores em que já havia alguma produção nacional (tabela 1, em anexo). </w:t>
      </w:r>
      <w:r>
        <w:lastRenderedPageBreak/>
        <w:t xml:space="preserve">Da mesma forma, dentro da indústria de transformação, constatou-se um início de diversificação. Se em 1919, 80,2% do valor adicionado industrial provinha dos setores produtores de bens de consumo não duráveis (BCND), vale dizer, da indústria tradicional que havia se desenvolvido dentro dos limites de expansão impostos pelas atividades primário-exportadoras, e 19,8% provinham dos setores produtores de bens de consumo duráveis (BCD), bens intermediários (BI) e bens de capital (BK), em 1939 esta relação passa a 69,7% para os BCND contra 30,3% para os demais setores. </w:t>
      </w:r>
    </w:p>
    <w:p w:rsidR="00B10D19" w:rsidRDefault="00B10D19" w:rsidP="00B10D19">
      <w:pPr>
        <w:spacing w:before="120" w:line="360" w:lineRule="auto"/>
        <w:jc w:val="both"/>
      </w:pPr>
      <w:r>
        <w:tab/>
        <w:t xml:space="preserve">A partir de crise 1929, a restrição no balanço de pagamentos forçou o aprofundamento da industrialização pela via substitutiva de importações. Porém, em vez de sanar os desequilíbrios externos, a industrialização substitutiva somente repunha, em níveis superiores, o problema da restrição de divisas (Tavares, 1981). Isto porque na medida em que se avançava na expansão/ implantação dos setores menos complexos, nas indústrias tradicionais, crescia a demanda por insumos industriais de uso difundido (produtos químicos, siderúrgicos etc.) e por máquinas e equipamentos, cuja produção doméstica era insuficiente ou inexistente. A industrialização brasileira encontrar-se-ia, assim, restringida por insuficiências tecnológicas e financeiras para se efetivar a internalização dos segmentos mais dinâmicos e intensivos em capital e tecnologia. Sem a industrialização pesada, entendida como a constituição de uma malha industrial integrada, onde estivessem presentes os setores produtores de duráveis de consumo e, especialmente, de bens de capital e bens intermediários, não se poderia dar continuidade ao processo de desenvolvimento nacional. </w:t>
      </w:r>
    </w:p>
    <w:p w:rsidR="00B10D19" w:rsidRDefault="00B10D19" w:rsidP="00B10D19">
      <w:pPr>
        <w:spacing w:before="120" w:line="360" w:lineRule="auto"/>
        <w:jc w:val="both"/>
      </w:pPr>
      <w:r>
        <w:tab/>
        <w:t xml:space="preserve">Somente a partir da segunda metade dos anos 1950 é que se verificará no Brasil um esforço consciente no sentido de se equacionar os gargalos estruturais que impediam o avanço da industrialização. </w:t>
      </w:r>
    </w:p>
    <w:p w:rsidR="00B10D19" w:rsidRDefault="00B10D19" w:rsidP="00B10D19">
      <w:pPr>
        <w:spacing w:before="120" w:line="360" w:lineRule="auto"/>
        <w:jc w:val="both"/>
      </w:pPr>
    </w:p>
    <w:p w:rsidR="00B10D19" w:rsidRDefault="00B10D19" w:rsidP="00B10D19">
      <w:pPr>
        <w:spacing w:before="120" w:line="360" w:lineRule="auto"/>
        <w:jc w:val="both"/>
      </w:pPr>
      <w:r>
        <w:rPr>
          <w:b/>
        </w:rPr>
        <w:t>17.2.2 A Industrialização Pesada</w:t>
      </w:r>
      <w:r>
        <w:rPr>
          <w:rStyle w:val="Refdenotaderodap"/>
          <w:b/>
        </w:rPr>
        <w:footnoteReference w:id="53"/>
      </w:r>
    </w:p>
    <w:p w:rsidR="00B10D19" w:rsidRDefault="00B10D19" w:rsidP="00B10D19">
      <w:pPr>
        <w:spacing w:before="120" w:line="360" w:lineRule="auto"/>
        <w:jc w:val="both"/>
      </w:pPr>
      <w:r>
        <w:tab/>
        <w:t xml:space="preserve">O período que compreende o pós-Segunda Grande Guerra Mundial e o final da década de 1970 foi marcado por um forte crescimento da economia brasileira (ver tabela 2, em anexo), cujas características centrais foram: (i) a liderança da indústria e, dentro desta, dos setores de bens de consumo duráveis (BCD) e bens de capital (BK); (ii) o </w:t>
      </w:r>
      <w:r>
        <w:lastRenderedPageBreak/>
        <w:t>crescente papel do Estado como coordenador e promotor direto do crescimento, delimitando os espaços de atuação dos blocos de capital privado nacional e estrangeiro e tomando para si a responsabilidade de garantir o padrão de financiamento de longo prazo; (iii) a convivência com níveis elevados de inflação – taxas anuais, em média, de 30,7% entre 1947 e 1980, e; (iv) uma clara dimensão cíclica, onde destacam-se as expansões dos sub-períodos 1955/62 (Plano de Metas), 1967/73 (“Milagre Econômico”) e 1973/80 (II PND). Vejamos mais de perto os principais momentos de consolidação da indústria brasileira.</w:t>
      </w:r>
    </w:p>
    <w:p w:rsidR="00B10D19" w:rsidRDefault="00B10D19" w:rsidP="00B10D19">
      <w:pPr>
        <w:spacing w:before="120" w:line="360" w:lineRule="auto"/>
        <w:jc w:val="both"/>
        <w:rPr>
          <w:b/>
        </w:rPr>
      </w:pPr>
    </w:p>
    <w:p w:rsidR="00B10D19" w:rsidRDefault="00B10D19" w:rsidP="00B10D19">
      <w:pPr>
        <w:spacing w:before="120" w:line="360" w:lineRule="auto"/>
        <w:jc w:val="both"/>
      </w:pPr>
      <w:r>
        <w:rPr>
          <w:b/>
        </w:rPr>
        <w:t>O Plano de Metas (1955-1961)</w:t>
      </w:r>
    </w:p>
    <w:p w:rsidR="00B10D19" w:rsidRDefault="00B10D19" w:rsidP="00B10D19">
      <w:pPr>
        <w:spacing w:before="120" w:line="360" w:lineRule="auto"/>
        <w:jc w:val="both"/>
      </w:pPr>
      <w:r>
        <w:tab/>
        <w:t>O Plano de Metas, implementado no governo Juscelino Kubitschek, constituiu-se no primeiro esforço consciente e sistemático do Estado brasileiro em construir uma estrutura industrial integrada verticalmente. Diante de uma forte crise do balanço de pagamentos em decorrência do endividamento passado e da queda nos preços internacionais do café, e contrariando a pressão do FMI para que o país adotasse um ajuste recessivo, resolveu-se aprofundar a trajetória industrializante através de um amplo programa de investimentos que visava sanar os gargalos estruturais da indústria.</w:t>
      </w:r>
    </w:p>
    <w:p w:rsidR="00B10D19" w:rsidRDefault="00B10D19" w:rsidP="00B10D19">
      <w:pPr>
        <w:spacing w:before="120" w:line="360" w:lineRule="auto"/>
        <w:jc w:val="both"/>
      </w:pPr>
      <w:r>
        <w:tab/>
        <w:t>Todos os instrumentos de política econômica foram mobilizados no sentido de garantir o objetivo de avançar no desenvolvimento industrial. A política monetária e creditícia foi acomodatícia. Na ausência de um mercado de capitais funcional e de insuficientes fluxos externos de capital coube ao Estado sustentar o financiamento dos investimentos públicos e privados. Aos crescentes déficits orçamentários corresponderam emissões monetárias que se traduziram em aceleração inflacionária no período seguinte (1962-67), conforme se pode constatar na tabela 2, em anexo.</w:t>
      </w:r>
    </w:p>
    <w:p w:rsidR="00B10D19" w:rsidRDefault="00B10D19" w:rsidP="00B10D19">
      <w:pPr>
        <w:spacing w:before="120" w:line="360" w:lineRule="auto"/>
        <w:jc w:val="both"/>
      </w:pPr>
      <w:r>
        <w:tab/>
        <w:t>Procurou-se aproveitar o movimento internacional de aprofundamento da concorrência intercapitalista. Os capitais europeus e norte-americanos competiam por espaço nos mercados internacionais e o governo brasileiro tratou de incentivar</w:t>
      </w:r>
      <w:r>
        <w:rPr>
          <w:rStyle w:val="Refdenotaderodap"/>
        </w:rPr>
        <w:footnoteReference w:id="54"/>
      </w:r>
      <w:r>
        <w:t xml:space="preserve"> a entrada de empresas multinacionais, portadoras de recursos financeiro, tecnológicos e capacidade empresarial. Assim, o investimento direto estrangeiro haveria de ser uma das peças-chave </w:t>
      </w:r>
      <w:r>
        <w:lastRenderedPageBreak/>
        <w:t>do avanço na modernização produtiva. O capital nacional foi estimulado pela adoção de taxas de câmbio preferenciais para a importação de máquinas e insumos industriais e pela oferta de crédito subsidiado através do Banco Nacional de Desenvolvimento Econômico (BNDE) e do Banco do Brasil (BB). Data deste período a instalação de grandes multinacionais no país, como os grupos Siemens, Mercedes Benz, Asea, Brow Baveri, Dow Chemical, Champion dentre outros, além do início da produção nacional de grupos já instalados anteriormente, mas que se limitavam a atividades de importação, comercialização ou montagem de pacotes CKD (</w:t>
      </w:r>
      <w:r>
        <w:rPr>
          <w:i/>
          <w:iCs/>
        </w:rPr>
        <w:t>complete knock down</w:t>
      </w:r>
      <w:r>
        <w:t>, vale dizer, kits de peças importadas para posterior montagem no local de venda) como Volkswagen e Ford.</w:t>
      </w:r>
    </w:p>
    <w:p w:rsidR="00B10D19" w:rsidRDefault="00B10D19" w:rsidP="00B10D19">
      <w:pPr>
        <w:spacing w:before="120" w:line="360" w:lineRule="auto"/>
        <w:jc w:val="both"/>
      </w:pPr>
      <w:r>
        <w:tab/>
        <w:t>Conforme se verifica na tabela 2, os setores de bens de capital e de bens de consumo duráveis lideraram o crescimento industrial. Neste período verificou-se a efetiva produção nacional de uma série de produtos ou mesmo de segmentos inteiros dos complexos metal-mecânico e eletro-eletrônico. Além disso, foram cruciais os investimentos estatais nos setores considerados estratégicos, especialmente em infra-estrutura – energia, transportes, siderurgia etc. O Plano de Metas</w:t>
      </w:r>
      <w:r>
        <w:rPr>
          <w:rStyle w:val="Refdenotaderodap"/>
        </w:rPr>
        <w:footnoteReference w:id="55"/>
      </w:r>
      <w:r>
        <w:t xml:space="preserve"> foi um ponto de ruptura radical na trajetória de industrialização do Brasil. Marcou a constituição inicial de uma estrutura industrial diversificada aos moldes do padrão das economias avançadas. </w:t>
      </w:r>
    </w:p>
    <w:p w:rsidR="00B10D19" w:rsidRDefault="00B10D19" w:rsidP="00B10D19">
      <w:pPr>
        <w:spacing w:before="120" w:line="360" w:lineRule="auto"/>
        <w:jc w:val="both"/>
      </w:pPr>
      <w:r>
        <w:tab/>
        <w:t>Findo o bloco concentrado de investimentos do período 1955-61, a economia foi incapaz de sustentar o mesmo ritmo de crescimento. As fragilidades do esquema inflacionário de financiamento limitavam a capacidade do Estado em liderar o processo de industrialização, o tamanho relativamente limitado do mercado consumidor, espremido pela concentração de renda e baixa capacidade de incorporação das massas trabalhadoras, e a inexistência de uma estrutura institucional adequada à nova dimensão do Estado – ampliada em suas funções e com forte participação no setor produtivo – inviabilizaram a manutenção de taxas elevadas de investimento, comprometendo até mesmo a absorção da produção corrente derivada dos investimentos anteriores. O recrudescimento da inflação e uma nova crise no balanço de pagamentos determinaram o ajuste recessivo no início dos anos 1960.</w:t>
      </w:r>
    </w:p>
    <w:p w:rsidR="00B10D19" w:rsidRDefault="00B10D19" w:rsidP="00B10D19">
      <w:pPr>
        <w:spacing w:before="120" w:line="360" w:lineRule="auto"/>
        <w:jc w:val="both"/>
      </w:pPr>
      <w:r>
        <w:tab/>
        <w:t xml:space="preserve">Com o golpe militar de 1964 foi implementada uma série de reformas institucionais que visavam ampliar o poder fiscal do Estado e modernizar o sistema financeiro nacional, de modo a dar novo fôlego ao crescimento liderado pela </w:t>
      </w:r>
      <w:r>
        <w:lastRenderedPageBreak/>
        <w:t>industrialização e urbanização. Institui-se a correção monetária como forma de viabilizar a colocação no mercado de títulos públicos em um contexto inflacionário e atualizar os valores da arrecadação tributária. Centralizou-se, na esfera federal, a maior parte das receitas tributárias. Reformou-se o sistema bancário e financeiro. Na verdade, o principal objetivo das reformas do período 1964-67 foi o de constituir um padrão mais estável de financiamento para a economia brasileira. Em parte, esse objetivo foi alcançado; porém vários mecanismos então criados e, em especial, a correção monetária, foram muito mais funcionais para prover aos investidores privados de alternativas rentáveis e seguras de aplicação dos seus excedentes, do que dinamizar o mercado privado de crédito de longo prazo. Continuou cabendo ao Estado dar sustentação para os investimentos, o que se traduziu em um crescente endividamento interno e externo, particularmente nos anos 1970.</w:t>
      </w:r>
    </w:p>
    <w:p w:rsidR="00B10D19" w:rsidRDefault="00B10D19" w:rsidP="00B10D19">
      <w:pPr>
        <w:spacing w:before="120" w:line="360" w:lineRule="auto"/>
        <w:jc w:val="both"/>
      </w:pPr>
    </w:p>
    <w:p w:rsidR="00B10D19" w:rsidRDefault="00B10D19" w:rsidP="00B10D19">
      <w:pPr>
        <w:spacing w:before="120" w:line="360" w:lineRule="auto"/>
        <w:jc w:val="both"/>
        <w:rPr>
          <w:b/>
        </w:rPr>
      </w:pPr>
      <w:r>
        <w:rPr>
          <w:b/>
        </w:rPr>
        <w:t>O Milagre Econômico (1967-73)</w:t>
      </w:r>
    </w:p>
    <w:p w:rsidR="00B10D19" w:rsidRDefault="00B10D19" w:rsidP="00B10D19">
      <w:pPr>
        <w:spacing w:before="120" w:line="360" w:lineRule="auto"/>
        <w:jc w:val="both"/>
      </w:pPr>
      <w:r>
        <w:tab/>
        <w:t>Por outro lado, essas reformas viabilizaram um novo e vigoroso ciclo de crescimento entre 1967/73, que ficou conhecido como o “Milagre Brasileiro”. O Estado pôde ter um maior controle sobre os recursos financeiros e, portanto, ampliar sua capacidade de direcionamento da acumulação de capital na economia. Equacionado o problema do financiamento, devido a condições internas (reformas) e externas (liquidez internacional) favoráveis, o período é marcado por um significativo crescimento. Vejamos suas características principais:</w:t>
      </w:r>
    </w:p>
    <w:p w:rsidR="00B10D19" w:rsidRDefault="00B10D19" w:rsidP="00B10D19">
      <w:pPr>
        <w:spacing w:before="120" w:line="360" w:lineRule="auto"/>
        <w:jc w:val="both"/>
      </w:pPr>
      <w:r>
        <w:tab/>
        <w:t>(i) Procurou-se apoiar o capital privado através da utilização dos instrumentos criados no período das reformas, especialmente o crédito das agências oficiais e os incentivos fiscais, que estimularam as decisões de investimento.</w:t>
      </w:r>
    </w:p>
    <w:p w:rsidR="00B10D19" w:rsidRDefault="00B10D19" w:rsidP="00B10D19">
      <w:pPr>
        <w:spacing w:before="120" w:line="360" w:lineRule="auto"/>
        <w:jc w:val="both"/>
      </w:pPr>
      <w:r>
        <w:tab/>
        <w:t>(ii) O novo sistema financeiro privado foi funcional no sentido de ampliar a oferta de crédito (capital de giro e consumo) e abrir oportunidades de valorização financeira dos capitais ociosos. Além disso, a expansão da atividade imobiliária urbana, o financiamento do consumo, da produção corrente, da acumulação de estoques e das ampliações marginais na capacidade produtiva das empresas puderam ser acomodadas pelo sistema BNH (Banco Nacional da Habitação), as financeiras, os Bancos Comerciais e de Investimento, que ampliaram o crédito disponível.</w:t>
      </w:r>
    </w:p>
    <w:p w:rsidR="00B10D19" w:rsidRDefault="00B10D19" w:rsidP="00B10D19">
      <w:pPr>
        <w:spacing w:before="120" w:line="360" w:lineRule="auto"/>
        <w:jc w:val="both"/>
      </w:pPr>
      <w:r>
        <w:lastRenderedPageBreak/>
        <w:tab/>
        <w:t>(iii) Porém, o sistema financeiro privado não se revelou funcional para viabilizar o financiamento dos investimentos de longo prazo e, assim, da formação bruta de capital. Para tanto se teve de recorrer à política expansionista de crédito e às taxas de juros favorecidas das instituições públicas (BNDE, BNH, BB).</w:t>
      </w:r>
    </w:p>
    <w:p w:rsidR="00B10D19" w:rsidRDefault="00B10D19" w:rsidP="00B10D19">
      <w:pPr>
        <w:spacing w:before="120" w:line="360" w:lineRule="auto"/>
        <w:jc w:val="both"/>
      </w:pPr>
      <w:r>
        <w:tab/>
        <w:t>(iv) Os gastos públicos foram direcionados para o setor produtivo e para a melhoria da infra-estrutura urbana, especialmente a construção civil.</w:t>
      </w:r>
    </w:p>
    <w:p w:rsidR="00B10D19" w:rsidRDefault="00B10D19" w:rsidP="00B10D19">
      <w:pPr>
        <w:spacing w:before="120" w:line="360" w:lineRule="auto"/>
        <w:jc w:val="both"/>
      </w:pPr>
      <w:r>
        <w:tab/>
        <w:t xml:space="preserve">(v) O setor externo apresentou condições favoráveis à expansão da economia brasileira. Houve um </w:t>
      </w:r>
      <w:r>
        <w:rPr>
          <w:i/>
        </w:rPr>
        <w:t>boom</w:t>
      </w:r>
      <w:r>
        <w:t xml:space="preserve"> sincronizado entre crescimento interno e externo. Constatou-se um aumento na liquidez do mercado financeiro internacional, a partir do desenvolvimento do mercado de eurodólares; e a ampliação do investimento direto estrangeiro. Em contrapartida, a legislação interna criou mecanismos de estímulo ao endividamento externo</w:t>
      </w:r>
      <w:r>
        <w:rPr>
          <w:rStyle w:val="Refdenotaderodap"/>
        </w:rPr>
        <w:footnoteReference w:id="56"/>
      </w:r>
      <w:r>
        <w:t>. A política cambial de mididesvalorizações estimulou a ampliação e diversificação das exportações.</w:t>
      </w:r>
    </w:p>
    <w:p w:rsidR="00B10D19" w:rsidRDefault="00B10D19" w:rsidP="00B10D19">
      <w:pPr>
        <w:spacing w:before="120" w:line="360" w:lineRule="auto"/>
        <w:jc w:val="both"/>
      </w:pPr>
    </w:p>
    <w:p w:rsidR="00B10D19" w:rsidRDefault="00B10D19" w:rsidP="00B10D19">
      <w:pPr>
        <w:spacing w:before="120" w:line="360" w:lineRule="auto"/>
        <w:jc w:val="both"/>
      </w:pPr>
      <w:r>
        <w:tab/>
        <w:t>Com relação à dinâmica industrial, devemos ressaltar que, diferentemente, do período anterior de expansão (1955-61), coube agora ao setor de bens de consumo duráveis a liderança do crescimento industrial, seguido do setor dos bens de capitais. O início do ciclo, entre 1967/70, deu-se com o aproveitamento da capacidade produtiva gerada no Plano de Metas e que estava ociosa. Somente entre 1970/73 que os investimentos irão se acelerar enquanto uma resposta ao crescimento da produção e consumo de bens duráveis. Não há uma inflexão da industrialização, no sentido de se corrigir os desequilíbrios estruturais da malha produtiva, avançando na internalização dos setores intensivos em capital e tecnologia. A base de expansão do setor de duráveis de consumo era restrita, de modo que não foi possível sustentar por muito tempo este novo ciclo expansivo. Explicita-se a forte dependência das decisões autônomas de gasto do Estado e das transnacionais. Torna-se cada vez mais fundamental o papel do investimento público na fixação de um piso para a taxa de crescimento global da indústria, sinalizando os limites de acumulação ao capital nacional e estrangeiro.</w:t>
      </w:r>
    </w:p>
    <w:p w:rsidR="00B10D19" w:rsidRDefault="00B10D19" w:rsidP="00B10D19">
      <w:pPr>
        <w:spacing w:before="120" w:line="360" w:lineRule="auto"/>
        <w:jc w:val="both"/>
      </w:pPr>
      <w:r>
        <w:lastRenderedPageBreak/>
        <w:tab/>
        <w:t>O quadro de reversão, já em 1973, é agravado pelo impacto da crise do petróleo e da crescente instabilidade financeira e cambial nos mercados internacionais, gerada pelo fim do arranjo cambial inaugurado com o Acordo de Bretton Woods. Mais uma vez, diante de restrições internas e externas, opta-se por não fazer um ajuste recessivo. Pelo contrário, decide-se aprofundar a industrialização pesada, alterar sua matriz energética – extremamente dependente do petróleo – e modernizar a infra-estrutura. Como no Plano de Metas, a resposta criativa frente às vicissitudes veio na forma de um conjunto de investimentos capitaneados pelo Estado. Era o II Plano Nacional de Desenvolvimento, do governo Geisel.</w:t>
      </w:r>
    </w:p>
    <w:p w:rsidR="00B10D19" w:rsidRDefault="00B10D19" w:rsidP="00B10D19">
      <w:pPr>
        <w:spacing w:before="120" w:line="360" w:lineRule="auto"/>
        <w:jc w:val="both"/>
        <w:rPr>
          <w:b/>
        </w:rPr>
      </w:pPr>
    </w:p>
    <w:p w:rsidR="00B10D19" w:rsidRDefault="00B10D19" w:rsidP="00B10D19">
      <w:pPr>
        <w:spacing w:before="120" w:line="360" w:lineRule="auto"/>
        <w:jc w:val="both"/>
      </w:pPr>
      <w:r>
        <w:rPr>
          <w:b/>
        </w:rPr>
        <w:t xml:space="preserve">O II Plano Nacional de Desenvolvimento (1974-79) </w:t>
      </w:r>
    </w:p>
    <w:p w:rsidR="00B10D19" w:rsidRDefault="00B10D19" w:rsidP="00B10D19">
      <w:pPr>
        <w:spacing w:before="120" w:line="360" w:lineRule="auto"/>
        <w:jc w:val="both"/>
      </w:pPr>
      <w:r>
        <w:tab/>
        <w:t xml:space="preserve">O II PND foi uma resposta industrializante à crise internacional. Ele foi concebido em meio a um processo embrionário de transição política, posto que o presidente Geisel ascendera ao poder com uma perspectiva de abertura política. Sucedia ao presidente Médici (1969-1973), cujo governo combinou o crescimento acelerado do “milagre” com o endurecimento do regime. Se Geisel não sustentasse o “sucesso econômico”, que supostamente legitimaria o regime militar, teria dificuldades em manter o apoio do </w:t>
      </w:r>
      <w:r w:rsidRPr="009F1F35">
        <w:rPr>
          <w:i/>
          <w:iCs/>
        </w:rPr>
        <w:t>establishment</w:t>
      </w:r>
      <w:r>
        <w:rPr>
          <w:i/>
          <w:iCs/>
        </w:rPr>
        <w:t xml:space="preserve"> </w:t>
      </w:r>
      <w:r>
        <w:t xml:space="preserve">militar e civil ao seu governo, bem como promover a </w:t>
      </w:r>
      <w:r>
        <w:rPr>
          <w:i/>
          <w:iCs/>
        </w:rPr>
        <w:t>détente</w:t>
      </w:r>
      <w:r>
        <w:t xml:space="preserve"> doméstica. Para completar o quadro, a oposição institucionalizada mostrava crescente força eleitoral. Neste contexto, a manutenção do crescimento acelerado também era um imperativo político. </w:t>
      </w:r>
    </w:p>
    <w:p w:rsidR="00B10D19" w:rsidRDefault="00B10D19" w:rsidP="00B10D19">
      <w:pPr>
        <w:spacing w:before="120" w:line="360" w:lineRule="auto"/>
        <w:ind w:firstLine="708"/>
        <w:jc w:val="both"/>
      </w:pPr>
      <w:r>
        <w:t>Em sua concepção o plano tinha por objetivo central completar a malha industrial, avançando na internalização de setores industriais intensivos em capital. Para Castro (1985: 37) “.... o bloco de investimentos anunciado no II PND, destinado a substituir importações e, se possível, abrir novas frentes de exportação, teria em princípio por efeito: sustentar a conjuntura impedindo uma descontinuidade de conseqüências imprevisíveis, assegurar o espaço necessário à absorção do surto anterior de investimentos; e, é claro, modificar a longo prazo a estrutura produtiva.” Priorizaram-se os seguintes setores: produtos químicos, papel e celulose, fertilizantes, siderurgia e metalurgia; além da infra-estrutura básica, especialmente em energia. Mais especificamente estabeleceram-se os seguintes objetivos:</w:t>
      </w:r>
    </w:p>
    <w:p w:rsidR="00B10D19" w:rsidRDefault="00B10D19" w:rsidP="00B10D19">
      <w:pPr>
        <w:spacing w:before="120" w:line="360" w:lineRule="auto"/>
        <w:jc w:val="both"/>
      </w:pPr>
      <w:r>
        <w:lastRenderedPageBreak/>
        <w:tab/>
        <w:t>(i) Sustentar as taxas de crescimento da economia para 1974/79 em patamares semelhantes ao período anterior (1967/73). Esperava-se um crescimento anual do PIB de 10%, 12% da indústria e 7% da agricultura. De concreto, entre 1973/80 o PIB cresceu em média 7,1% a.a., a indústria 5,2% a.a. e a agricultura 7,6% a.a.</w:t>
      </w:r>
    </w:p>
    <w:p w:rsidR="00B10D19" w:rsidRDefault="00B10D19" w:rsidP="00B10D19">
      <w:pPr>
        <w:spacing w:before="120" w:line="360" w:lineRule="auto"/>
        <w:jc w:val="both"/>
      </w:pPr>
      <w:r>
        <w:tab/>
        <w:t>(ii) Substituir aceleradamente as importações nos setores de bens de capital e bens intermediários (química pesada, siderurgia, metais não ferrosos e minerais não metálicos).</w:t>
      </w:r>
    </w:p>
    <w:p w:rsidR="00B10D19" w:rsidRDefault="00B10D19" w:rsidP="00B10D19">
      <w:pPr>
        <w:spacing w:before="120" w:line="360" w:lineRule="auto"/>
        <w:jc w:val="both"/>
      </w:pPr>
      <w:r>
        <w:tab/>
        <w:t>(iii) Estimular a ampliação da capacidade de produção e exportação de insumos industriais de uso difundido (celulose, ferro, alumínio e aço).</w:t>
      </w:r>
    </w:p>
    <w:p w:rsidR="00B10D19" w:rsidRDefault="00B10D19" w:rsidP="00B10D19">
      <w:pPr>
        <w:spacing w:before="120" w:line="360" w:lineRule="auto"/>
        <w:jc w:val="both"/>
      </w:pPr>
      <w:r>
        <w:tab/>
        <w:t>(iv) Modificar a matriz energética, estimulando-se o aumento na produção de energia hidroelétrica, desenvolvendo-se o transporte ferroviário e ampliando-se a produção nacional de petróleo.</w:t>
      </w:r>
    </w:p>
    <w:p w:rsidR="00B10D19" w:rsidRDefault="00B10D19" w:rsidP="00B10D19">
      <w:pPr>
        <w:spacing w:before="120" w:line="360" w:lineRule="auto"/>
        <w:jc w:val="both"/>
      </w:pPr>
      <w:r>
        <w:tab/>
        <w:t>(v) Investir em infra-estrutura básica: telecomunicações, eletrificação rural, irrigação, construção de armazéns e centrais de abastecimento.</w:t>
      </w:r>
    </w:p>
    <w:p w:rsidR="00B10D19" w:rsidRDefault="00B10D19" w:rsidP="00B10D19">
      <w:pPr>
        <w:spacing w:before="120" w:line="360" w:lineRule="auto"/>
        <w:jc w:val="both"/>
      </w:pPr>
      <w:r>
        <w:tab/>
        <w:t xml:space="preserve"> Para viabilizar esse pacote de investimentos procurou-se elaborar um esquema de financiamento que tinha por objetivo aproveitar as poupanças privadas voluntárias, direcionando-as do consumo para o investimento. Na prática isso não ocorreu. Utilizou-se a poupança compulsória (PIS-PASEP), direcionada para o sistema BNDE e que, junto com as fontes externas, garantiram o financiamento dos projetos de investimento, com juros normalmente subsidiados (porque fixados em patamares inferiores à inflação). Além disso, as empresas estatais tiveram um papel central na realização dos investimentos, captando recursos no exterior, e sustentando a demanda corrente da indústria privada de bens de capital e bens intermediários através das compras governamentais</w:t>
      </w:r>
      <w:r>
        <w:rPr>
          <w:rStyle w:val="Refdenotaderodap"/>
        </w:rPr>
        <w:footnoteReference w:id="57"/>
      </w:r>
      <w:r>
        <w:t>. Porém, já a partir de 1976 o Estado mostra-se incapaz de sustentar ritmos crescentes de gasto. Vê-se obrigado a adotar políticas antiinflacionárias contracionistas, o que sinalizou para os agentes privados dificuldades para a absorção futura da produção, deprimindo as taxas correntes de investimento. Na tabela 2 (em anexo), constata-se que há uma retração conjunta dos gastos governamentais e dos investimentos industriais no sub-período 1976/80.</w:t>
      </w:r>
    </w:p>
    <w:p w:rsidR="00B10D19" w:rsidRDefault="00B10D19" w:rsidP="00B10D19">
      <w:pPr>
        <w:spacing w:before="120" w:line="360" w:lineRule="auto"/>
        <w:jc w:val="both"/>
      </w:pPr>
      <w:r>
        <w:lastRenderedPageBreak/>
        <w:tab/>
        <w:t>A dinâmica de crescimento do II PND foi marcada pela liderança do setor de construção civil – e não pela indústria – e dos serviços de utilidade pública, ambos impulsionados pelos investimentos governamentais, particularmente das empresas estatais (tabela 2, em anexo).  Dentro da indústria de transformação destacou-se o setor de bens de capital, que liderou o crescimento no período de 1973/76. A incapacidade de o Governo sustentar o mesmo volume de gastos, sancionando os investimentos privados pretéritos, gerou um efeito depressor sobre o crescimento industrial no período 1976/80.  No início dos anos 1980, quando maturam os investimentos do II PND, verificou-se uma significativa economia de divisas, dada pela redução das importações de máquinas, equipamentos e matérias-primas diversas, além de ampliação de exportações nestes mesmos segmentos</w:t>
      </w:r>
      <w:r>
        <w:rPr>
          <w:rStyle w:val="Refdenotaderodap"/>
        </w:rPr>
        <w:footnoteReference w:id="58"/>
      </w:r>
      <w:r>
        <w:t>. A partir do governo Geisel, o Estado brasileiro passou a ter uma inserção produtiva significativamente ampliada. São deste período os mega-projetos estatais nos sistemas Eletrobrás (Itaipu, Angra I e II, etc), Petrobras, Siderbrás e Telebrás, o Pró-Álcool, a construção da Ferrovia do Aço, a criação de novos pólos petroquímicos (Triunfo, no Rio Grande do Sul, e Camaçari, na Bahia), etc.</w:t>
      </w:r>
    </w:p>
    <w:p w:rsidR="00B10D19" w:rsidRDefault="00B10D19" w:rsidP="00B10D19">
      <w:pPr>
        <w:spacing w:before="120" w:line="360" w:lineRule="auto"/>
        <w:jc w:val="both"/>
        <w:rPr>
          <w:b/>
        </w:rPr>
      </w:pPr>
    </w:p>
    <w:p w:rsidR="00B10D19" w:rsidRDefault="00B10D19" w:rsidP="00B10D19">
      <w:pPr>
        <w:spacing w:before="120" w:line="360" w:lineRule="auto"/>
        <w:jc w:val="both"/>
      </w:pPr>
      <w:r>
        <w:rPr>
          <w:b/>
        </w:rPr>
        <w:t xml:space="preserve">Um Balanço Geral do Período de Industrialização Pesada </w:t>
      </w:r>
    </w:p>
    <w:p w:rsidR="00B10D19" w:rsidRDefault="00B10D19" w:rsidP="00B10D19">
      <w:pPr>
        <w:spacing w:before="120" w:line="360" w:lineRule="auto"/>
        <w:jc w:val="both"/>
      </w:pPr>
      <w:r>
        <w:tab/>
        <w:t xml:space="preserve">Algumas evidências empíricas casuais permitem ilustrar as profundas transformações experimentadas pela estrutura produtiva do Brasil no período em questão. Assim, se em 1949 a agricultura respondia por 24,9% da renda nacional, contra 26% da indústria, em 1979 esses números passam a 13,2% e 33,4%, respectivamente. Dentro da indústria de transformação, verificou-se a tendência de uma maior integração e maturidade da estrutura produtiva. Houve um crescimento na importância dos setores “modernos” (duráveis de consumo, bens de capital e bens intermediários) em detrimento dos setores “tradicionais” ou “leves” (bens de consumo não duráveis). Tais segmentos, que representavam 73% da produção industrial em 1949, passaram a responder por somente 34%, em 1980. No mesmo período, os duráveis de consumo pularam de 2,5% para 13,5%, os bens de capital de 4,3% para 14,7%, e os bens intermediários, de 20,4% para 37,4% (Serra, 1982: 59-60). </w:t>
      </w:r>
    </w:p>
    <w:p w:rsidR="00B10D19" w:rsidRDefault="00B10D19" w:rsidP="00B10D19">
      <w:pPr>
        <w:spacing w:before="120" w:line="360" w:lineRule="auto"/>
        <w:jc w:val="both"/>
      </w:pPr>
      <w:r>
        <w:lastRenderedPageBreak/>
        <w:tab/>
        <w:t xml:space="preserve">Aparentemente a estrutura industrial que emergia do final dos anos 1970 estaria caminhando a passos largos para ombrear-se às estruturas dos países mais avançados (Castro, 1985). Porém, no meio do caminho entre o desejado e o possível, a fronteira tecno-produtiva deslocou-se para frente com a “terceira revolução industrial”, que alterou sensivelmente os requisitos de modernidade produtiva, e ampliou-se o grau de internacionalização das diversas economias nacionais, ao que se passou denominar de globalização. Paralelamente, o padrão de financiamento da economia brasileira ruiu sob o impacto da crise internacional deflagrada por dois “choques exógenos” no final dos anos 1970: o segundo choque do petróleo e o choque de juros promovido por Paul Volcker, então </w:t>
      </w:r>
      <w:r>
        <w:rPr>
          <w:i/>
          <w:iCs/>
        </w:rPr>
        <w:t xml:space="preserve">chairman </w:t>
      </w:r>
      <w:r>
        <w:t xml:space="preserve">do Federal Reserve, o banco central dos EUA. As condições externas de financiamento se deterioram rapidamente, o que comprometeu a estratégia de financiamento da economia brasileira. A partir do </w:t>
      </w:r>
      <w:r>
        <w:rPr>
          <w:i/>
        </w:rPr>
        <w:t>default</w:t>
      </w:r>
      <w:r>
        <w:t xml:space="preserve"> mexicano de 1982, e sob o peso do seu próprio endividamento, o Brasil entraria em uma trajetória de elevada instabilidade macroeconômica e baixo crescimento.</w:t>
      </w:r>
    </w:p>
    <w:p w:rsidR="00B10D19" w:rsidRDefault="00B10D19" w:rsidP="00B10D19">
      <w:pPr>
        <w:spacing w:before="120" w:line="360" w:lineRule="auto"/>
        <w:jc w:val="both"/>
      </w:pPr>
    </w:p>
    <w:p w:rsidR="00B10D19" w:rsidRDefault="00B10D19" w:rsidP="00B10D19">
      <w:pPr>
        <w:spacing w:before="120" w:line="360" w:lineRule="auto"/>
        <w:jc w:val="both"/>
        <w:rPr>
          <w:b/>
        </w:rPr>
      </w:pPr>
      <w:r>
        <w:rPr>
          <w:b/>
        </w:rPr>
        <w:t>17.2.3 A Crise do Nacional-Desenvolvimentismo</w:t>
      </w:r>
    </w:p>
    <w:p w:rsidR="00B10D19" w:rsidRDefault="00B10D19" w:rsidP="00B10D19">
      <w:pPr>
        <w:spacing w:before="120" w:line="360" w:lineRule="auto"/>
        <w:jc w:val="both"/>
      </w:pPr>
      <w:r>
        <w:tab/>
        <w:t>Instabilidade é palavra que melhor sintetiza a experiência brasileira nos anos que se seguiram à crise da dívida externa. Instabilidade que ultrapassa uma visão monetarista associada à noção de desequilíbrio monetário – inflação – originado, por sua vez, na esfera pública, pela irresponsabilidade fiscal do Estado. Ao contrário, quando se pensa instabilidade neste período há que se analisar com atenção a complexa cadeia interligada de fatores, cuja origem fundamental pode ser encontrada no rompimento de um padrão de desenvolvimento que, enquanto um movimento histórico mais amplo, estendeu-se pelas décadas que se seguiram à crise de 1929.</w:t>
      </w:r>
    </w:p>
    <w:p w:rsidR="00B10D19" w:rsidRDefault="00B10D19" w:rsidP="00B10D19">
      <w:pPr>
        <w:spacing w:before="120" w:line="360" w:lineRule="auto"/>
        <w:ind w:firstLine="708"/>
        <w:jc w:val="both"/>
      </w:pPr>
      <w:r>
        <w:t xml:space="preserve">Conforme foi destacado anteriormente esse padrão ou modelo de desenvolvimento, denominado por muitos de "nacional-desenvolvimentista" (Fiori, 1993) foi extremamente eficiente no que diz respeito a garantir elevadas taxas de crescimento econômico, consolidar uma estrutura industrial relativamente complexa e integrada, capaz de ser competitiva internacionalmente em nível de firmas e de alguns setores – particularmente em setores processadores de recursos naturais, na siderurgia, química, papel e celulose, etc. (Coutinho e Ferraz, 1994). Porém, dadas as próprias limitações – especialmente as financeiras e tecnológicas – associadas à industrialização em países de capitalismo tardio e periférico (Amsden, 2001, Tavares, 1985, Canuto, </w:t>
      </w:r>
      <w:r>
        <w:lastRenderedPageBreak/>
        <w:t xml:space="preserve">1995), o processo de industrialização brasileira não conduziu a um equacionamento satisfatório de duas questões fundamentais: a geração endógena de tecnologia, a partir do esforço inovativo de suas empresas e demais instituições associadas; e a consolidação de uma estrutura estável de financiamento de longo prazo, capaz de dar estabilidade ao processo de desenvolvimento econômico. Em uma dimensão mais profunda, o crescimento econômico resultante da industrialização e urbanização também não produziu desenvolvimento, se este é considerado a combinação de expansão material, melhores condições de vida da população em geral (acesso à saúde, educação, etc.) e redução das desigualdades. Esta última dimensão foi a que menos avançou no período em análise. </w:t>
      </w:r>
    </w:p>
    <w:p w:rsidR="00B10D19" w:rsidRDefault="00B10D19" w:rsidP="00B10D19">
      <w:pPr>
        <w:pStyle w:val="Corpodetexto"/>
        <w:spacing w:before="120"/>
      </w:pPr>
      <w:r>
        <w:tab/>
        <w:t xml:space="preserve">Com relação à questão do financiamento, deve-se destacar a capacidade limitada do sistema privado de intermediação financeira em garantir o financiamento de longo prazo levou o Estado a exercer o papel de grande intermediador financeiro. Entretanto, ao executar as funções de longo prazo do financiamento, o Estado assumiu somente a dimensão passiva da centralização do capital, para utilizar a expressão de Tavares (1978:139-142). Vale dizer, o Estado, especialmente por meio das instituições oficiais de fomento, garantiu a oferta de recursos financeiros – muitas vezes na forma de crédito subsidiado – para a sustentação de longo prazo do processo de acumulação, deixando, entretanto, que os interesses privados determinassem autonomamente – sem contrapartidas, como na questão da busca de eficiência produtiva e capacidade endógena de inovação tecnológica – o direcionamento desta acumulação. </w:t>
      </w:r>
    </w:p>
    <w:p w:rsidR="00B10D19" w:rsidRDefault="00B10D19" w:rsidP="00B10D19">
      <w:pPr>
        <w:pStyle w:val="Corpodetexto"/>
        <w:spacing w:before="120"/>
        <w:ind w:firstLine="708"/>
      </w:pPr>
      <w:r>
        <w:t xml:space="preserve">Para se ilustrar estas diferenças, basta lembrar que a Coréia do Sul, neste mesmo momento histórico, procurou combinar mecanismos de “prêmio” (proteção do mercado doméstico, subsídios fiscais, creditícios e cambiais, etc.) e “punição” (exigência de metas de exportação) para o acesso aos incentivos estatais, o que forçava as empresas a investir de forma mais eficiente os escassos recursos internos (criados politicamente e gerados pelo desempenho operacional das empresas) e externos à economia brasileira (Canuto, 1994). Tal estratégia revelou-se, </w:t>
      </w:r>
      <w:r>
        <w:rPr>
          <w:i/>
          <w:iCs/>
        </w:rPr>
        <w:t>ex-post</w:t>
      </w:r>
      <w:r>
        <w:t xml:space="preserve">, muito mais eficiente, pois a Coréia do Sul avançou mais rapidamente nos setores produtivos intensivos em tecnologia. Ademais, minimizou-se o </w:t>
      </w:r>
      <w:r>
        <w:rPr>
          <w:i/>
          <w:iCs/>
        </w:rPr>
        <w:t xml:space="preserve">viés </w:t>
      </w:r>
      <w:r>
        <w:t xml:space="preserve">anti-exportador das estratégias puras de “substituição de importações” (ou modelo “introvertido”), o que também foi benéfico em termos de sustentabilidade do financiamento do balanço de pagamentos. Tais diferenças se aprofundaram quando do avanço da fronteira tecnológica, nos anos 1980 e 1990, de modo </w:t>
      </w:r>
      <w:r>
        <w:lastRenderedPageBreak/>
        <w:t xml:space="preserve">que Brasil e Coréia do Sul saíram da fase de industrialização pesada com perfis produtivos e de inserção externa marcadamente distintos, onde a segunda consolidou a presença internacional de seus grupos econômicos – os </w:t>
      </w:r>
      <w:r>
        <w:rPr>
          <w:i/>
          <w:iCs/>
        </w:rPr>
        <w:t xml:space="preserve">chaebols </w:t>
      </w:r>
      <w:r>
        <w:t xml:space="preserve">– em setores intensivos em capital e tecnologia, enquanto o primeiro manteve suas vantagens competitivas em setores intensivos em recursos naturais. </w:t>
      </w:r>
    </w:p>
    <w:p w:rsidR="00B10D19" w:rsidRDefault="00B10D19" w:rsidP="00B10D19">
      <w:pPr>
        <w:pStyle w:val="Recuodecorpodetexto2"/>
        <w:spacing w:before="120"/>
      </w:pPr>
      <w:r>
        <w:t>Assim, ao assumir o papel de sustentáculo do crédito de longo prazo o Estado passou a endividar-se de forma crescente – externa e internamente (Tavares, 1978 e 1985). Com os sucessivos choques exógenos do final dos anos 1970 e início dos 1980 – petróleo, juros e a crise da dívida (Solomon, 1999) – rompeu-se o padrão de financiamento que sustentava o crescimento da economia brasileira. O Estado entrou num processo de crescente fragilização financeira (Baer, 1993), dado o peso dos passivos acumulado em dólares – dívida externa – e em títulos mobiliários indexados – dívida interna. Depois de 1982, a economia mergulhou em uma espiral de instabilidade macroeconômica, que retirou dos agentes produtivos um horizonte favorável para novos investimentos, e tendo de gerir uma grave crise externa e interna.  É, portanto, a partir da ruptura do seu padrão de desenvolvimento a partir uma série de choques exógenos potencializados pelas respostas internas de política econômica (monetária, cambial e fiscal) que se deve entender a complexidade da instabilidade que caracterizou a economia brasileira por mais de uma década. Senão vejamos.</w:t>
      </w:r>
    </w:p>
    <w:p w:rsidR="00B10D19" w:rsidRDefault="00B10D19" w:rsidP="00B10D19">
      <w:pPr>
        <w:spacing w:before="120" w:line="360" w:lineRule="auto"/>
        <w:jc w:val="both"/>
      </w:pPr>
      <w:r>
        <w:tab/>
        <w:t xml:space="preserve">A ruptura externa transformou-se em crise interna através de um mecanismo básico de transmissão: a resposta do Estado em termos de política econômica, onde as sucessivas políticas de estabilização por não lograrem êxito acabaram contribuindo para deteriorar as expectativas privadas, agravar o descontrole inflacionário e determinar uma crescente fragilização fiscal do setor público (Belluzzo e Almeida, 2002, Carneiro, 2002, Giambiagi </w:t>
      </w:r>
      <w:r>
        <w:rPr>
          <w:i/>
          <w:iCs/>
        </w:rPr>
        <w:t>et al</w:t>
      </w:r>
      <w:r>
        <w:t>., 2004). Assim:</w:t>
      </w:r>
    </w:p>
    <w:p w:rsidR="00B10D19" w:rsidRDefault="00B10D19" w:rsidP="00B10D19">
      <w:pPr>
        <w:spacing w:before="120" w:line="360" w:lineRule="auto"/>
        <w:ind w:firstLine="708"/>
        <w:jc w:val="both"/>
      </w:pPr>
      <w:r>
        <w:t xml:space="preserve">(i) A tentativa de evitar que choque exógeno de preços levasse a aceleração descontrolada da inflação levou o governo a prefixar a correção cambial e monetária – no início dos anos 1980. O resultado prático desta medida foi a colocação em xeque do padrão monetário dual derivado de anos de indexação, onde conviviam duas moedas, a indexada (títulos públicos e taxa de câmbio) e a não indexada, os cruzeiros de curso forçado utilizados no cotidiano das transações econômicas. Adicionalmente aquela medida explicitou o risco cambial. A possibilidade de perdas de riqueza com a instabilidade monetária – mais especificamente, da moeda indexada (títulos públicos) e </w:t>
      </w:r>
      <w:r>
        <w:lastRenderedPageBreak/>
        <w:t xml:space="preserve">do câmbio – levou a um forte ajuste patrimonial do setor privado (ver o Box “A Reação do Setor Produtivo à Crise dos Anos 1980”), que ao buscar proteger-se da instabilidade elevou as margens de lucro e desendividou-se, fugindo de passivos dolarizados – que foram assumidos pelo Estado. </w:t>
      </w:r>
    </w:p>
    <w:p w:rsidR="00B10D19" w:rsidRDefault="00B10D19" w:rsidP="00B10D19">
      <w:pPr>
        <w:spacing w:before="120" w:line="360" w:lineRule="auto"/>
        <w:jc w:val="both"/>
      </w:pPr>
      <w:r>
        <w:tab/>
        <w:t>(ii) A estratégia de ajuste do balanço de pagamentos através de políticas cambiais ativas (desvalorizando a moeda nacional), acompanhadas por incentivos e subsídios às exportações, ampliaram a fragilização financeira do Estado: não somente na sustentação dos estímulos fiscais, mas, sobretudo, pela questão cambial, na medida em que a maior parte do passivo dolarizado era (ou foi tornado) público (Baer, 1993:100). Deve-se ressaltar que a busca do ajuste externo através da geração de mega-superávits levou ao incentivo às exportações, o que foi muito bem incorporado no comportamento dos grandes grupos econômicos privados nacionais e estrangeiros, especialmente aqueles com inserção em setores processadores de recursos naturais (química e petroquímica, papel e celulose, siderurgia, etc.).</w:t>
      </w:r>
    </w:p>
    <w:p w:rsidR="00B10D19" w:rsidRDefault="00B10D19" w:rsidP="00B10D19">
      <w:pPr>
        <w:spacing w:before="120" w:line="360" w:lineRule="auto"/>
        <w:jc w:val="both"/>
      </w:pPr>
      <w:r>
        <w:tab/>
        <w:t xml:space="preserve">(iii) Por outro lado, o setor produtivo estatal (SPE) foi penalizado, na medida em que não pôde ajustar-se como o setor privado, permanecendo com margens de lucro deprimidas e forte endividamento. Em paralelo a isso o rompimento dos fluxos de financiamento externo levou o Estado a buscar fontes internas de financiamento, através do endividamento mobiliário. </w:t>
      </w:r>
    </w:p>
    <w:p w:rsidR="00B10D19" w:rsidRDefault="00B10D19" w:rsidP="00B10D19">
      <w:pPr>
        <w:spacing w:before="120" w:line="360" w:lineRule="auto"/>
        <w:jc w:val="both"/>
      </w:pPr>
      <w:r>
        <w:tab/>
        <w:t>(iv) Assim, ao longo da década de 1980, o Estado foi tornando-se cada vez mais dependente do financiamento de curtíssimo prazo nos mercados financeiros, tendo que pagar a taxas de juros crescentes para não comprometer a rolagem do seu passivo. As políticas cambiais ativas e políticas monetárias restritivas compuseram um quadro macroeconômico que se refletiu em decisões microeconômicas que sancionaram o processo recessivo, donde a retração dos investimentos produtivos e um comportamento fortemente especulativo dos agentes privados na busca de valorização da sua riqueza.</w:t>
      </w:r>
    </w:p>
    <w:p w:rsidR="00B10D19" w:rsidRDefault="00B10D19" w:rsidP="00B10D19">
      <w:pPr>
        <w:spacing w:before="120" w:line="360" w:lineRule="auto"/>
        <w:jc w:val="both"/>
      </w:pPr>
      <w:r>
        <w:t xml:space="preserve"> </w:t>
      </w: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452"/>
      </w:tblGrid>
      <w:tr w:rsidR="00B10D19" w:rsidTr="00451405">
        <w:tc>
          <w:tcPr>
            <w:tcW w:w="9211" w:type="dxa"/>
          </w:tcPr>
          <w:p w:rsidR="00B10D19" w:rsidRDefault="00B10D19" w:rsidP="00451405">
            <w:pPr>
              <w:pStyle w:val="Ttulo5"/>
              <w:spacing w:before="120"/>
            </w:pPr>
            <w:r>
              <w:t>A Reação do Setor Produtivo à Crise dos Anos 1980</w:t>
            </w:r>
          </w:p>
        </w:tc>
      </w:tr>
      <w:tr w:rsidR="00B10D19" w:rsidTr="00451405">
        <w:tc>
          <w:tcPr>
            <w:tcW w:w="9211" w:type="dxa"/>
          </w:tcPr>
          <w:p w:rsidR="00B10D19" w:rsidRDefault="00B10D19" w:rsidP="00451405">
            <w:pPr>
              <w:jc w:val="both"/>
              <w:rPr>
                <w:sz w:val="22"/>
                <w:szCs w:val="22"/>
              </w:rPr>
            </w:pPr>
            <w:r>
              <w:rPr>
                <w:sz w:val="22"/>
                <w:szCs w:val="22"/>
              </w:rPr>
              <w:t xml:space="preserve">Ao contrário da experiência verificada em outras economias em desenvolvimento, especialmente na América Latina, a crise da dívida externa não produziu um processo significativo de “desindustrialização” no Brasil. Os grandes grupos econômicos, especialmente os privados nacionais e os estrangeiros, adotaram estratégias patrimoniais defensivas que garantiram sua rentabilidade (e, assim, sobrevivência) em um ambiente de elevada instabilidade macroeconômica e de baixo crescimento. Este fato foi amplamente demonstrado por uma série </w:t>
            </w:r>
            <w:r>
              <w:rPr>
                <w:sz w:val="22"/>
                <w:szCs w:val="22"/>
              </w:rPr>
              <w:lastRenderedPageBreak/>
              <w:t>de estudos feitos no Instituto de Estudos do Setor Público de São Paulo (IESP - FUNDAP), e que procuraram acompanhar o desempenho de grandes grupos privados nacionais, estrangeiros e estatais, com base em uma análise detalhada dos demonstrativos financeiros daqueles. Seus resultados foram consolidados por Novais (1988), Almeida &amp; Novais (1991), e retomados por Belluzzo e Almeida (2002). Resultados semelhantes foram encontrados no conhecido “Estudo da Competitividade da Indústria Brasileira”, que empreendeu uma ampla pesquisa sobre a capacidade competitiva de diversos setores produtivos, tal qual esta se revelava no início dos anos 1990 (Coutinho e Ferraz, 1994). A partir destes trabalhos foi possível constatar que a instabilidade macroeconômica posterior à crise da dívida externa foi incorporada nas estratégias privadas, o que sancionou e amplificou o próprio processo de deterioração do quadro macroeconômico. Sancionou na medida em que boa parte da riqueza privada direcionou-se para a valorização financeira, o que se refletiu uma forma característica de relação entre o público e o privado no Brasil, já que a possibilidade de altos ganhos na macroestrutura financeira decorria da dependência do Estado com relação aos recursos privados. Amplificou a partir do momento em que as decisões de formação de preços tornam-se eminentemente prospectivas, baseadas na expectativa de uma futura taxa de inflação que ainda não ocorreu e que, em última instância passavam a buscar referência na taxa de juros – que, por sua vez, alimentava o circuito endividamento (público), valorização financeira do patrimônio privado, e mais endividamento interno. Da mesma forma a redução na produção corrente e o adiamento das decisões de investimento amplificaram o ambiente de baixo crescimento.</w:t>
            </w:r>
          </w:p>
          <w:p w:rsidR="00B10D19" w:rsidRDefault="00B10D19" w:rsidP="00451405">
            <w:pPr>
              <w:jc w:val="both"/>
              <w:rPr>
                <w:sz w:val="22"/>
                <w:szCs w:val="22"/>
              </w:rPr>
            </w:pPr>
            <w:r>
              <w:rPr>
                <w:sz w:val="22"/>
                <w:szCs w:val="22"/>
              </w:rPr>
              <w:t xml:space="preserve">De um modo geral os grandes grupos privados nacionais e estrangeiros procuraram ajustar sua estrutura patrimonial por meio da recomposição das contas ativas (fonte de receitas e aplicação dos recursos) e passivas (endividamento) no sentido de reduzir o grau de endividamento, aumentar margens de lucro e priorizar a aplicação financeira dos capitais ociosos. Por outro lado, o patrimônio físico (máquinas e equipamentos, prédios, terrenos, etc.) permaneceu quase inalterado ao longo da década de 1980, refletindo o baixo dinamismo dos investimentos produtivos. No que tange às estratégias industriais e tecnológicas, contatou-se a ausência de um esforço sistemático no sentido de modernização da estrutura produtiva, o que implicou em uma ampliação do </w:t>
            </w:r>
            <w:r>
              <w:rPr>
                <w:i/>
                <w:iCs/>
                <w:sz w:val="22"/>
                <w:szCs w:val="22"/>
              </w:rPr>
              <w:t>gap</w:t>
            </w:r>
            <w:r>
              <w:rPr>
                <w:sz w:val="22"/>
                <w:szCs w:val="22"/>
              </w:rPr>
              <w:t xml:space="preserve"> tecnológico da indústria nacional. Nunca é demais lembrar que, nos anos 1980, se materializou, nas economias industriais mais avançadas, os resultados mais concretos dos avanços tecnológicos na microeletrônica e biotecnologia, bem como as inovações organizacionais, que implicaram na introdução de novos meios de produção e bens de consumo. </w:t>
            </w:r>
          </w:p>
          <w:p w:rsidR="00B10D19" w:rsidRDefault="00B10D19" w:rsidP="00451405">
            <w:pPr>
              <w:jc w:val="both"/>
              <w:rPr>
                <w:sz w:val="22"/>
                <w:szCs w:val="22"/>
              </w:rPr>
            </w:pPr>
            <w:r>
              <w:rPr>
                <w:sz w:val="22"/>
                <w:szCs w:val="22"/>
              </w:rPr>
              <w:t>O padrão de comportamento descrito aqui deve ser considerado como o mais geral. Tomando-se as especificidades setoriais e as trajetórias particulares dos principais grupos privados nacionais e estrangeiros podem ser encontrados, ao longo dos anos 1980, casos de elevado dinamismo em termos de crescimento e modernização das práticas produtivas e organizacionais. Isto é particularmente verdadeiro naqueles setores processadores de recursos naturais com maior inserção nos mercados internacionais, como papel e celulose, química e petroquímica, siderurgia e, também, em setores mais voltados para o mercado interno como em alimentos.</w:t>
            </w:r>
          </w:p>
        </w:tc>
      </w:tr>
    </w:tbl>
    <w:p w:rsidR="00B10D19" w:rsidRDefault="00B10D19" w:rsidP="00B10D19">
      <w:pPr>
        <w:spacing w:line="360" w:lineRule="auto"/>
        <w:jc w:val="both"/>
      </w:pPr>
    </w:p>
    <w:p w:rsidR="00B10D19" w:rsidRDefault="00B10D19" w:rsidP="00B10D19">
      <w:pPr>
        <w:spacing w:line="360" w:lineRule="auto"/>
        <w:jc w:val="both"/>
      </w:pPr>
      <w:r>
        <w:tab/>
        <w:t xml:space="preserve">O importante a reter é que prolongado período de instabilidade macroeconômica dos anos 1980 determinou uma interrupção da trajetória de </w:t>
      </w:r>
      <w:r>
        <w:rPr>
          <w:i/>
        </w:rPr>
        <w:t>catching-up</w:t>
      </w:r>
      <w:r>
        <w:t xml:space="preserve"> da indústria nacional com respeito às estruturas mais avançadas. As insuficiências do padrão de financiamento da economia, caracterizadas por um elevado endividamento – em última instância, assumido pelo Estado – e da baixa capacidade de modernização tecnológica foram fatores internos que dificultaram uma resposta mais criativa à crise. Apesar disso, e tomando-se uma perspectiva de longo prazo, Bonelli (1995) reporta um significativo o avanço e sofisticação da estrutura industrial brasileira. Se nos anos 1920 anos os setores </w:t>
      </w:r>
      <w:r>
        <w:lastRenderedPageBreak/>
        <w:t>tradicionais respondiam por 89,7% da produção industrial brasileira, contra 9% dos setores processadores de recursos naturais e 1,3% dos setores tecnologicamente mais dinâmicos, em 1990 tinha-se um quadro radicalmente distinto, com a participação destes setores alterada, respectivamente, para 39%, 43% e 18%. Por outro lado, os setores tecnologicamente mais dinâmicos, onde se inclui os complexos metal-mecânico e eletro-eletrônico, que vinham tendo uma participação crescente na produção industrial até 1975 passam, a partir dos anos 1980, a ter um peso declinante na malha industrial</w:t>
      </w:r>
      <w:r>
        <w:rPr>
          <w:rStyle w:val="Refdenotaderodap"/>
        </w:rPr>
        <w:footnoteReference w:id="59"/>
      </w:r>
      <w:r>
        <w:t>.</w:t>
      </w:r>
    </w:p>
    <w:p w:rsidR="00B10D19" w:rsidRDefault="00B10D19" w:rsidP="00B10D19">
      <w:pPr>
        <w:spacing w:line="360" w:lineRule="auto"/>
        <w:jc w:val="both"/>
        <w:rPr>
          <w:b/>
        </w:rPr>
      </w:pPr>
    </w:p>
    <w:p w:rsidR="00B10D19" w:rsidRDefault="00B10D19" w:rsidP="00B10D19">
      <w:pPr>
        <w:spacing w:line="360" w:lineRule="auto"/>
        <w:jc w:val="both"/>
      </w:pPr>
      <w:r>
        <w:rPr>
          <w:b/>
        </w:rPr>
        <w:t>17.4 A Décadas de 1990: liberalização econômica e o Plano Real</w:t>
      </w:r>
    </w:p>
    <w:p w:rsidR="00B10D19" w:rsidRDefault="00B10D19" w:rsidP="00B10D19">
      <w:pPr>
        <w:spacing w:line="360" w:lineRule="auto"/>
        <w:jc w:val="both"/>
      </w:pPr>
      <w:r>
        <w:tab/>
        <w:t>Conforme destacado anteriormente, quando se parte de uma perspectiva de longo prazo, pode-se constatar que a economia brasileira atravessou três momentos bastante distintos em seu processo de modernização</w:t>
      </w:r>
      <w:r>
        <w:rPr>
          <w:rStyle w:val="Refdenotaderodap"/>
        </w:rPr>
        <w:footnoteReference w:id="60"/>
      </w:r>
      <w:r>
        <w:t xml:space="preserve">. Entre o final das décadas de 1940 e 1970, a renda cresceu 7% a.a. em termos globais e 4,5% a.a. </w:t>
      </w:r>
      <w:r>
        <w:rPr>
          <w:i/>
        </w:rPr>
        <w:t>per capita</w:t>
      </w:r>
      <w:r>
        <w:t>. Foi o período da industrialização pesada, da urbanização e da integração do território nacional. Aquele crescimento foi alicerçado em um padrão de financiamento fortemente dependente da utilização de fundos públicos e recursos externos. Nos anos 1970, enquanto os países capitalistas centrais e muitos países em desenvolvimento passavam por um ajuste recessivo ante os choques externos (crise do petróleo, flexibilização dos regimes cambiais, etc.), o Brasil acelerava sua estratégia desenvolvimentista, com base em financiamento externo</w:t>
      </w:r>
      <w:r>
        <w:rPr>
          <w:rStyle w:val="Refdenotaderodap"/>
        </w:rPr>
        <w:footnoteReference w:id="61"/>
      </w:r>
      <w:r>
        <w:t>.</w:t>
      </w:r>
      <w:r>
        <w:tab/>
        <w:t xml:space="preserve">Com a crise da dívida externa, a inflação crônica, na casa dos 30% ao ano na década anterior, passou a patamares superiores a 2.000% ao ano, a partir da segunda metade da década de 1980. A economia experimentou diversos ciclos curtos e instáveis de crescimento, de modo que entre 1981 e 2002, a renda </w:t>
      </w:r>
      <w:r>
        <w:rPr>
          <w:i/>
        </w:rPr>
        <w:t>per capita</w:t>
      </w:r>
      <w:r>
        <w:t xml:space="preserve"> expandiu-se a uma taxa média de 0,45% a.a., ou seja, 1/10 do ritmo verificado nas quatro décadas anteriores. Ao longo dos anos 1980 e 1990, foram implementados diversos programas de estabilização econômica. Para enfrentar a inércia inflacionária, típica de economias altamente indexadas (Arida &amp; Resende, 1985), os “choques econômicos” vinham acompanhados da introdução de elementos não convencionais, como o congelamento de preços, salários e ativos financeiros, a desindexação total ou parcial da </w:t>
      </w:r>
      <w:r>
        <w:lastRenderedPageBreak/>
        <w:t>economia e as reformas monetárias</w:t>
      </w:r>
      <w:r>
        <w:rPr>
          <w:rStyle w:val="Refdenotaderodap"/>
        </w:rPr>
        <w:footnoteReference w:id="62"/>
      </w:r>
      <w:r>
        <w:t xml:space="preserve">. Em cada tentativa fracassada, ampliava-se a instabilidade econômica e institucional, o que punha sob tensão os ganhos políticos da redemocratização (ver o Box “O Combate à Inflação nos Anos 1980 e 1990”). </w:t>
      </w:r>
    </w:p>
    <w:p w:rsidR="00B10D19" w:rsidRDefault="00B10D19" w:rsidP="00B10D19">
      <w:pPr>
        <w:spacing w:line="360" w:lineRule="auto"/>
        <w:jc w:val="both"/>
      </w:pPr>
    </w:p>
    <w:tbl>
      <w:tblPr>
        <w:tblW w:w="0" w:type="auto"/>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Look w:val="01E0" w:firstRow="1" w:lastRow="1" w:firstColumn="1" w:lastColumn="1" w:noHBand="0" w:noVBand="0"/>
      </w:tblPr>
      <w:tblGrid>
        <w:gridCol w:w="8452"/>
      </w:tblGrid>
      <w:tr w:rsidR="00B10D19" w:rsidTr="00451405">
        <w:tc>
          <w:tcPr>
            <w:tcW w:w="9211" w:type="dxa"/>
          </w:tcPr>
          <w:p w:rsidR="00B10D19" w:rsidRDefault="00B10D19" w:rsidP="00451405">
            <w:pPr>
              <w:spacing w:line="360" w:lineRule="auto"/>
              <w:jc w:val="center"/>
              <w:rPr>
                <w:b/>
              </w:rPr>
            </w:pPr>
            <w:r>
              <w:rPr>
                <w:b/>
              </w:rPr>
              <w:t>O Combate à Inflação nos Anos 1980 e 1990 – Choques “Ortodoxos” e “Heterodoxos”</w:t>
            </w:r>
          </w:p>
        </w:tc>
      </w:tr>
      <w:tr w:rsidR="00B10D19" w:rsidTr="00451405">
        <w:tc>
          <w:tcPr>
            <w:tcW w:w="9211" w:type="dxa"/>
          </w:tcPr>
          <w:p w:rsidR="00B10D19" w:rsidRDefault="00B10D19" w:rsidP="00451405">
            <w:pPr>
              <w:jc w:val="both"/>
              <w:rPr>
                <w:sz w:val="22"/>
                <w:szCs w:val="22"/>
              </w:rPr>
            </w:pPr>
            <w:r>
              <w:rPr>
                <w:sz w:val="22"/>
                <w:szCs w:val="22"/>
              </w:rPr>
              <w:t xml:space="preserve">Entre 1986 e 1994, os sucessivos governos implementaram uma série de programas de estabilização, conhecidos popularmente como “pacotes” ou “choques”, e que introduziram elementos não convencionais no conjunto de medidas de combate à espiral inflacionária. O primeiro deles foi o “Plano Cruzado” (1986), que veio à luz no segundo ano do governo Sarney (1985-1990), e que congelou preços e salários, aparentemente eliminando, ainda que por pouco tempo e como que por um passe de mágica, uma inflação mensal que havia atingido dois dígitos mensais – ou mais de 200% a.a. A ele se seguiu o Plano Bresser (1987), o Plano Verão (1989) e os Planos Collor 1 e 2, no curto mandato do presidente Fernando Collor de Mello e, por fim o Plano Real (1994), introduzido no governo de Itamar Franco (1993-1994) e consolidado nos dois mandatos de Fernando Henrique Cardoso (1995-2002). Eles foram marcados pela introdução de medidas radicais (nem sempre simultaneamente), tais como o congelamento de preços, salários e taxa de câmbio, congelamento de ativos financeiros (“confisco da poupança”), mudanças de indexadores de contratos, introdução de novas moedas (cruzado, cruzado novo, cruzeiro real e o real) e de novos mecanismos de reajuste de salários (“gatilho”, etc.), dentre outras. Durante quase uma década a sociedade viveu sob a expectativa de que um novo plano seria lançado e, com isso, o “dragão da inflação” seria finalmente abatido. Qual a origem destas tentativas e por que somente o Plano Real “deu certo”? A resposta passa por lembrarmos a conjuntura da economia brasileira às vésperas do Plano Cruzado e do intenso debate sobre como estabilizar a economia. Entre 1981 e 1983 o país viveu sua maior recessão no período do pós-guerra: o PIB teve uma taxa média de variação de -2,2% a.a., a inflação média subiu para cerca de 130% a.a., quatro vezes maior do que a média da década anterior, as contas externas foram marcadas por uma profunda deterioração dos resultados em conta corrente (déficits médios acima de US$ 11 bilhões a.a.) e dos indicadores de solvência (o índice dívida externa líquida/exportações chegou a uma média de 3,7). Em meio a esta profunda recessão, a inflação seguia crescendo, o que reduzia o apelo explicativo das teses ortodoxas para o descontrole de preços tinha origem no excesso de demanda provocado por políticas fiscais e monetárias irresponsáveis – e que, portanto, qualquer estratégia de combate à inflação deveria privilegiar os instrumentos e políticas convencionais, corte de gastos públicos e contração do crédito. Depois de 1984, a economia voltou a crescer e as contas externas estavam em uma situação menos desconfortável. Porém, a inflação não dava sinais de que recuaria com as políticas ortodoxas. Foi neste contexto que, entre 1984 e 1985, foram sendo elaboradas as estratégias chamadas de “heterodoxas” e que acabaram sendo incorporadas nos programas econômicos nos anos seguintes. O objetivo central das propostas era eliminar o componente inercial da inflação produzido pela indexação generalizada dos contratos. Na Unicamp, economistas ligados ao PMDB defendiam o “pacto social”, um acordo onde empresários e trabalhadores aceitariam abrir mão, de forma coordenada, de reajustes nominais de preços e salários, reconduzindo, de forma gradual, a inflação a patamares normais. Da PUC do Rio emergiram duas estratégias, que compartilhavam o diagnóstico fundamental de que a inércia era o problema central, e que duvidavam das medidas propostas pelos economistas da Unicamp. De um lado, Francisco Lopes defendia o “choque heterodoxo”, uma espécie de pacto de adesão compulsória, por meio do qual o congelamento de preços e a desindexação (eliminação de cláusulas contratuais que previam reajustes automáticos de </w:t>
            </w:r>
            <w:r>
              <w:rPr>
                <w:sz w:val="22"/>
                <w:szCs w:val="22"/>
              </w:rPr>
              <w:lastRenderedPageBreak/>
              <w:t>preços) se combinariam para eliminar a inércia dos preços. Já Pérsio Arida e André Lara Resende formularam o que veio a ser conhecido como “proposta Larida”, onde a circulação simultânea de duas moedas – a velha, corroída pela inflação, e nova, estável – criaria um ambiente onde a livre adesão à nova moeda evitaria as distorções de preços geradas por medidas compulsórias como o congelamento. No extremo oposto, economistas então chamados de ortodoxos, e normalmente identificados com FGV-RJ, argumentavam que a inflação brasileira era igual a todas as demais. Defendiam o “choque ortodoxo”, ou seja, um ajuste fiscal e monetário mais forte do que aqueles tentados até então. A proposta de Francisco Lopes serviu de base ao Plano Cruzado e a de Arida e Resende, ao Plano Real. Este se beneficiou da experiência acumulada pelos insucessos dos planos anteriores</w:t>
            </w:r>
            <w:r>
              <w:rPr>
                <w:vanish/>
                <w:sz w:val="22"/>
                <w:szCs w:val="22"/>
              </w:rPr>
              <w:t>o brasileira era igual a todas as demais, carecendo ao paiundos da FGV-RJ, argumentavam que a inflam a busca de algum equil</w:t>
            </w:r>
            <w:r>
              <w:rPr>
                <w:vanish/>
                <w:sz w:val="22"/>
                <w:szCs w:val="22"/>
              </w:rPr>
              <w:pgNum/>
            </w:r>
            <w:r>
              <w:rPr>
                <w:vanish/>
                <w:sz w:val="22"/>
                <w:szCs w:val="22"/>
              </w:rPr>
              <w:pgNum/>
            </w:r>
            <w:r>
              <w:rPr>
                <w:vanish/>
                <w:sz w:val="22"/>
                <w:szCs w:val="22"/>
              </w:rPr>
              <w:pgNum/>
            </w:r>
            <w:r>
              <w:rPr>
                <w:vanish/>
                <w:sz w:val="22"/>
                <w:szCs w:val="22"/>
              </w:rPr>
              <w:pgNum/>
            </w:r>
            <w:r>
              <w:rPr>
                <w:sz w:val="22"/>
                <w:szCs w:val="22"/>
              </w:rPr>
              <w:t xml:space="preserve">, de modo que sua implementação foi antecedida por medidas que visam recompor os níveis de reservas internacionais e ajustar as contas públicas. Sua gestão procurou atentar para o crescimento excessivo da demanda agregada. Detalhes sobre os vários planos econômicos podem ser encontrados em Giambiagi </w:t>
            </w:r>
            <w:r>
              <w:rPr>
                <w:i/>
                <w:sz w:val="22"/>
                <w:szCs w:val="22"/>
              </w:rPr>
              <w:t>et al</w:t>
            </w:r>
            <w:r>
              <w:rPr>
                <w:sz w:val="22"/>
                <w:szCs w:val="22"/>
              </w:rPr>
              <w:t>. (2004).</w:t>
            </w:r>
          </w:p>
        </w:tc>
      </w:tr>
    </w:tbl>
    <w:p w:rsidR="00B10D19" w:rsidRDefault="00B10D19" w:rsidP="00B10D19">
      <w:pPr>
        <w:spacing w:line="360" w:lineRule="auto"/>
        <w:jc w:val="both"/>
      </w:pPr>
    </w:p>
    <w:p w:rsidR="00B10D19" w:rsidRDefault="00B10D19" w:rsidP="00B10D19">
      <w:pPr>
        <w:spacing w:line="360" w:lineRule="auto"/>
        <w:ind w:firstLine="708"/>
        <w:jc w:val="both"/>
      </w:pPr>
      <w:r>
        <w:t xml:space="preserve">Depois de duas décadas de governos militares, o poder voltou aos civis em 1985. Mas, foi somente em 1989 que ocorreu a primeira eleição direta para presidente em três décadas. O candidato vencedor, Fernando Collor de Mello (1990-1992), portador de uma plataforma política liberalizante teve de renunciar ao seu mandato em meio a denúncias de corrupção. A jovem democracia brasileira deu uma demonstração de normalidade quando o vice-presidente, Itamar Franco (1992-1994), assumiu o mandato sem rupturas institucionais. Em seu governo, coube ao então senador Fernando Henrique Cardoso (FHC) liderar, na posição de Ministro da Fazenda, a mais bem-sucedida estratégia de estabilização da história recente do Brasil. A partir de 1994, com o Plano Real, conseguiu-se reverter o quadro de inflação descontrolada. Ademais, foi aprofundada a estratégia de liberalização econômica. </w:t>
      </w:r>
    </w:p>
    <w:p w:rsidR="00B10D19" w:rsidRDefault="00B10D19" w:rsidP="00B10D19">
      <w:pPr>
        <w:spacing w:line="360" w:lineRule="auto"/>
        <w:jc w:val="both"/>
      </w:pPr>
      <w:r>
        <w:tab/>
        <w:t xml:space="preserve">O Plano Real teve pelo menos três fases marcantes. Em 1994, em meio às incertezas quanto ao sucesso da reforma monetária, optou-se por permitir a livre flutuação do Real frente ao dólar o que, em um contexto de liquidez externa, gerou uma apreciação nominal de cerca de 15% nos primeiro meses de sua implantação. De uma cotação de R$ 1,00 por US$ 1,00, o Real subiu para R$ 0,85 por US$ 1,00. Em paralelo, houve uma ampla redução de tarifas de importação. Com o câmbio nominal e real apreciados e tarifas reduzidas, experimentou-se um “choque de importações” que, na perspectiva das autoridades econômicas da época, seria necessário para evitar a retomada da inércia inflacionária na nova moeda. Como decorrência, já no segundo semestre daquele ano, inverteu-se o resultado da balança comercial que, desde a segunda metade dos anos 1980, vinha permitindo a geração de superávits acima da casa dos US$ 10 bilhões ao ano (OECD, 2001, Carneiro, 2002, Giambiagi </w:t>
      </w:r>
      <w:r>
        <w:rPr>
          <w:i/>
        </w:rPr>
        <w:t>et al</w:t>
      </w:r>
      <w:r>
        <w:t xml:space="preserve">., 2004). </w:t>
      </w:r>
    </w:p>
    <w:p w:rsidR="00B10D19" w:rsidRDefault="00B10D19" w:rsidP="00B10D19">
      <w:pPr>
        <w:spacing w:line="360" w:lineRule="auto"/>
        <w:ind w:firstLine="708"/>
        <w:jc w:val="both"/>
      </w:pPr>
      <w:r>
        <w:lastRenderedPageBreak/>
        <w:t xml:space="preserve">Entre 1995 e 1998, o regime de bandas cambiais permitiu um lento processo de realinhamento do câmbio real. Todavia, os preços relativos seguiram desfavoráveis às exportações e incentivadores das importações. Com isso, o Brasil perdeu espaço no comércio mundial, exatamente em uma década de </w:t>
      </w:r>
      <w:r>
        <w:rPr>
          <w:i/>
        </w:rPr>
        <w:t xml:space="preserve">boom </w:t>
      </w:r>
      <w:r>
        <w:t>das exportações</w:t>
      </w:r>
      <w:r>
        <w:rPr>
          <w:rStyle w:val="Refdenotaderodap"/>
        </w:rPr>
        <w:footnoteReference w:id="63"/>
      </w:r>
      <w:r>
        <w:t xml:space="preserve"> mundiais. Deve-se notar que no período que se seguiu à crise da dívida externa nos anos 1980, o país foi obrigado a gerar saldos comerciais positivos, cujo acumulado no período 1984-1994 atingiu o montante de US$ 141 bilhões (uma média anual de US$ 12 bilhões). Tal quadro se inverteu radicalmente com o Plano Real, quando foram gerados déficits acumulados de US$ 24 bilhões entre 1995 e 2000. Somando-se os demais itens em conta corrente (como o pagamento de juros, os transportes, seguros, rendas, etc.) a economia brasileira passou a apresentar déficits superiores a 4% do PIB. Neste contexto, e em meio aos recorrentes episódios de crises financeiras internacionais, o financiamento do balanço de pagamentos passou a depender, cada vez mais, da atração de capitais privados autônomos. Combinou-se, assim, a âncora cambial com a política de juros reais elevados, além da aceleração do processo de privatizações, com o intuito de se criar ativos atraentes aos investidores estrangeiros. </w:t>
      </w:r>
    </w:p>
    <w:p w:rsidR="00B10D19" w:rsidRDefault="00B10D19" w:rsidP="00B10D19">
      <w:pPr>
        <w:spacing w:line="360" w:lineRule="auto"/>
        <w:ind w:firstLine="708"/>
        <w:jc w:val="both"/>
      </w:pPr>
      <w:r>
        <w:t xml:space="preserve">Ademais, depois de 1995 o governo teve de administrar um sensível processo de reestruturação do setor financeiro. O convívio prolongado com um regime de alta inflação garantiu, por um lado, uma significativa expansão do sistema financeiro, mas, por outro, a adoção de práticas ineficientes, especialmente no negócio bancário. Com o Plano Real, verificou-se a perda dos ganhos de intermediação potencializados pela inflação crescente, o que fragilizou as instituições menos eficientes. Além disso, verificou-se, a partir da estabilização monetária, um </w:t>
      </w:r>
      <w:r>
        <w:rPr>
          <w:i/>
        </w:rPr>
        <w:t xml:space="preserve">boom </w:t>
      </w:r>
      <w:r>
        <w:t>creditício, com posterior fragilização da qualidade das carteiras de créditos constituídas (aumento da inadimplência). O Banco Central teve de adotar programas de saneamento dos bancos oficiais e privados, o que gerou um custo fiscal bruto superior a 10% do PIB. Ademais, a reestruturação das dívidas dos governos estatuais e de outros passivos fiscais foi importante para a estabilização geral da economia, porém contribuiu para o crescimento da dívida pública.</w:t>
      </w:r>
    </w:p>
    <w:p w:rsidR="00B10D19" w:rsidRDefault="00B10D19" w:rsidP="00B10D19">
      <w:pPr>
        <w:spacing w:line="360" w:lineRule="auto"/>
        <w:jc w:val="both"/>
      </w:pPr>
      <w:r>
        <w:tab/>
        <w:t xml:space="preserve">A estabilidade de preços e os ganhos reais nos salários até 1997 geraram os dividendos eleitorais que foram colhidos por uma ampla aliança política, liderada pelo </w:t>
      </w:r>
      <w:r>
        <w:lastRenderedPageBreak/>
        <w:t>presidente Cardoso (1994-2002), cuja reeleição, em 1998, deu-se em meio a um ataque especulativo contra o real. A fuga de capitais de US$ 40 bilhões levou, após a definição do pleito eleitoral, à realização do primeiro dos três programas de apoio financeiro do FMI. A desconfiança dos detentores de ativos brasileiros quanto à sustentabilidade do regime de câmbio administrado levou, no começo de 1999, a uma desvalorização de mais de 70% do Real em dois meses. Sob risco da volta da inflação e aderindo às sugestões do FMI, adotou-se um novo regime macroeconômico que passou a vigorar ao longo do segundo mandato do presidente Cardoso, alicerçado em três elementos: câmbio flutuante, metas de inflação e geração de superávits primários (que excluem o pagamento de juros sobre a dívida pública) no setor público consolidado.</w:t>
      </w:r>
    </w:p>
    <w:p w:rsidR="00B10D19" w:rsidRDefault="00B10D19" w:rsidP="00B10D19">
      <w:pPr>
        <w:spacing w:line="360" w:lineRule="auto"/>
        <w:jc w:val="both"/>
      </w:pPr>
      <w:r>
        <w:rPr>
          <w:b/>
        </w:rPr>
        <w:tab/>
      </w:r>
      <w:r>
        <w:t xml:space="preserve">Um balanço sintético dos principais resultados macroeconômicos deste período revela um expressivo sucesso em estabilizar os preços: a inflação média entre 1995-2002 ficou em 9%, se medida pelo IPCA ou 13% pelo IGPM. Se tais níveis ainda se mostravam bem acima da média mundial, eles representavam uma vitória inequívoca sobre o processo inflacionário crônico, que poucos anos antes produzia taxas mensais da ordem de 80%. A queda da inflação veio acompanhada, em um primeiro momento, de melhorias nas condições de vida da população em geral, especialmente dos trabalhadores assalariados, que experimentaram ganhos reais em seus rendimentos. Todavia, o câmbio apreciado e os juros reais elevados, fizeram com que os estoques de dívida fiscal (como proporção do PIB) e de passivo externo duplicassem no período. Nunca é demais lembrar que houve um acúmulo de déficits em transações correntes da ordem de US$ 186 bilhões entre 1995 e 2002, o que se traduziu em aumento de dívidas e vendas de ativos, o que gerou efeitos expansivos sobre os pagamentos de rendas (juros, dividendos e lucros) para o resto do mundo. Trocou-se a instabilidade de preços pela vulnerabilidade externa crescente. Não à toa, às vésperas da eleição que levou Luis Ignácio Lula da Silva (2003-atual) ao poder, passou-se a questionar a capacidade do país sustentar suas dívidas. Ademais, o crescimento da renda se mostrou muito aquém das expectativas criadas em torno da estabilização e liberalização da economia. Entre 1995 e 2002 o PIB cresceu, em média, 2,3% a.a., em linha com o fraco desempenho experimentado no período 1982-2002. </w:t>
      </w:r>
    </w:p>
    <w:p w:rsidR="00B10D19" w:rsidRDefault="00B10D19" w:rsidP="00B10D19">
      <w:pPr>
        <w:spacing w:line="360" w:lineRule="auto"/>
        <w:jc w:val="both"/>
      </w:pPr>
      <w:r>
        <w:rPr>
          <w:b/>
        </w:rPr>
        <w:tab/>
      </w:r>
      <w:r>
        <w:t xml:space="preserve">Deve-se notar que nos anos 1990, de forma relativamente tardia com respeito aos demais países latino-americanos (Cepal, 2002), o Brasil passou por um intenso processo de liberalização e desregulamentação de sua economia. No plano comercial, a reforma iniciou no final dos anos 1980, no bojo das discussões em torno da formação do Mercosul. </w:t>
      </w:r>
      <w:r>
        <w:lastRenderedPageBreak/>
        <w:t xml:space="preserve">No final de 1994, como parte da estratégia de estabilização, acelerou-se a redução nas tarifas alfandegárias. Entre 1990 e 1995, a tarifa média (simples) passou de 32% para 14% (OECD, 2001). Kume, Piani &amp; Souza (2002) calcularam a tarifa efetiva média ponderada pelo valor adicionado, que teria passado de 68%, em 1987, para 10%, em 1995. Com o Mercosul, a Tarifa Externa Comum (TEC) passou a determinar, em geral, a estrutura e o nível das barreiras tarifárias. Com a ressalva da lista de produtos mais sensíveis, que possuem um regime especial (como equipamentos de telecomunicações, computadores, veículos automotores e autopeças, bens de capital, açúcar, etc.), a TEC tem oscilado entre 0 e 20%. A deterioração das contas externas, tanto no Brasil, quanto nos demais países do bloco, gerou sucessivas rodadas de aumento-redução-aumento de tarifas (OECD, 2001). Como resultado, o coeficiente de abertura, medido, por exemplo, pela relação entre importações e consumo aparente (produção interna acrescida de importações) teria subido significativamente em diversos setores. As estimativas de Bonelli (2002) sugerem um aumento médio de 8% para 14% neste indicador, enquanto média simples de 31 setores da economia. </w:t>
      </w:r>
    </w:p>
    <w:p w:rsidR="00B10D19" w:rsidRDefault="00B10D19" w:rsidP="00B10D19">
      <w:pPr>
        <w:spacing w:line="360" w:lineRule="auto"/>
        <w:ind w:firstLine="708"/>
        <w:jc w:val="both"/>
      </w:pPr>
      <w:r>
        <w:t>Marcos simbólicos do período desenvolvimentista foram eliminados: em 1991, caiu a reserva de mercado no setor de informática; em 1995, a Emenda Constitucional n.º 6 acabou com a discriminação legal contra empresas estrangeiras, agora igualadas às nacionais. Da mesma forma, empresas estatais centrais para o processo de industrialização foram privatizadas, com a Companhia Siderúrgica Nacional (CSN) e a Vale do Rio Doce. Os setores de telecomunicações, siderurgia, química e petroquímica, segmentos do setor elétrico, parte dos bancos públicos estaduais, entre outros, passaram por profundas transformações com o processo de privatização. Entre 1991 e 2002, foram privatizadas cerca de 130 empresas federais ou estaduais, em um montante de US$ 106 bilhões entre receitas de vendas e transferência de dívidas. Verificou-se uma reconfiguração do “tripé” (Serra, 1982) sob o qual a base produtiva industrial brasileira havia sido erigida. Uma evidência neste sentido está na participação relativa das empresas de distintas origens no total das vendas das 500 maiores empresas do país. Na média dos anos 1980, as empresas com controle estrangeiro responderam por cerca de 30% das vendas; as empresas controladas pelo capital privado nacional por 40%; e as estatais por 30%. No ano 2002, essas participações foram de, respectivamente: 46%; 35% e 19%</w:t>
      </w:r>
      <w:r>
        <w:rPr>
          <w:rStyle w:val="Refdenotaderodap"/>
        </w:rPr>
        <w:footnoteReference w:id="64"/>
      </w:r>
      <w:r>
        <w:t>.</w:t>
      </w:r>
    </w:p>
    <w:p w:rsidR="00B10D19" w:rsidRDefault="00B10D19" w:rsidP="00B10D19">
      <w:pPr>
        <w:spacing w:line="360" w:lineRule="auto"/>
        <w:ind w:firstLine="708"/>
        <w:jc w:val="both"/>
      </w:pPr>
      <w:r>
        <w:lastRenderedPageBreak/>
        <w:t xml:space="preserve">Um dos principais fatos estilizados da economia brasileiras nos anos 1990 é o aumento na taxa de desemprego. Em uma perspectiva de mais longo prazo, nota-se que a taxa média (móvel de 12 meses) passou de cerca de 4% para 8% entre meados dos anos 1980 e o final da década de 1990. Na origem deste fenômeno esteve a abertura comercial que, todavia, não pode ser apontada como única mudança estrutural relevante no período (Bonelli, 2002, Carneiro, 2002, Giambiagi </w:t>
      </w:r>
      <w:r>
        <w:rPr>
          <w:i/>
        </w:rPr>
        <w:t>et al</w:t>
      </w:r>
      <w:r>
        <w:t>., 2004,). Além disso, as políticas monetária e fiscal contracionistas, motivadas pelos ditames da estabilização, especialmente em um ambiente marcado por uma série de choques externos adversos – as crises financeiras na segunda metade da década – contribuíram para a constituição de ciclos curtos de crescimento. Com o Plano Real verificou-se, inicialmente, um ganho real de renda dos trabalhadores assalariados das regiões metropolitanas</w:t>
      </w:r>
      <w:r>
        <w:rPr>
          <w:vertAlign w:val="superscript"/>
        </w:rPr>
        <w:footnoteReference w:id="65"/>
      </w:r>
      <w:r>
        <w:t xml:space="preserve"> que, todavia, foi perdido entre 1998 e 2002. Em uma perspectiva mais longa, e considerando o rendimento real dos assalariados da Grande São Paulo, é possível verificar a tendência de queda da renda dos trabalhadores nos anos 1990</w:t>
      </w:r>
      <w:r>
        <w:rPr>
          <w:vertAlign w:val="superscript"/>
        </w:rPr>
        <w:footnoteReference w:id="66"/>
      </w:r>
      <w:r>
        <w:t xml:space="preserve">. </w:t>
      </w:r>
    </w:p>
    <w:p w:rsidR="00B10D19" w:rsidRDefault="00B10D19" w:rsidP="00B10D19">
      <w:pPr>
        <w:spacing w:line="360" w:lineRule="auto"/>
        <w:ind w:firstLine="708"/>
        <w:jc w:val="both"/>
      </w:pPr>
      <w:r>
        <w:t>No início da década de 1990, o pessoal ocupado nas regiões metropolitanas</w:t>
      </w:r>
      <w:r>
        <w:rPr>
          <w:vertAlign w:val="superscript"/>
        </w:rPr>
        <w:footnoteReference w:id="67"/>
      </w:r>
      <w:r>
        <w:rPr>
          <w:vertAlign w:val="superscript"/>
        </w:rPr>
        <w:t xml:space="preserve"> </w:t>
      </w:r>
      <w:r>
        <w:t>formava um contingente de cerca de 17 milhões de pessoas. Deste universo, perto de 59% possuíam carteira de trabalho assinada, o que, do ponto de vista dos diretos trabalhistas, garante a formalização do emprego. No final da década, aquele indicador passou para algo em torno de 45%, evidenciando a precarização das relações de trabalho. Por outro lado, a reestruturação do setor produtivo, especialmente na indústria, gerou como resultado positivo um incremento significativo nos indicadores de produtividade, revertendo-se o quadro negativo verificado na década de 1980. Mesmo quando se consideram as dificuldades (e divergências) metodológicas, há evidências consistentes de que a década de 1990 trouxe um incremento não desprezível da produtividade</w:t>
      </w:r>
      <w:r>
        <w:rPr>
          <w:vertAlign w:val="superscript"/>
        </w:rPr>
        <w:footnoteReference w:id="68"/>
      </w:r>
      <w:r>
        <w:t xml:space="preserve"> – do trabalho ou a multifatorial. </w:t>
      </w:r>
    </w:p>
    <w:p w:rsidR="00B10D19" w:rsidRDefault="00B10D19" w:rsidP="00B10D19">
      <w:pPr>
        <w:spacing w:line="360" w:lineRule="auto"/>
        <w:jc w:val="both"/>
      </w:pPr>
    </w:p>
    <w:p w:rsidR="00B10D19" w:rsidRDefault="00B10D19" w:rsidP="00B10D19">
      <w:pPr>
        <w:spacing w:line="360" w:lineRule="auto"/>
        <w:jc w:val="both"/>
        <w:rPr>
          <w:b/>
        </w:rPr>
      </w:pPr>
      <w:r>
        <w:rPr>
          <w:b/>
        </w:rPr>
        <w:t xml:space="preserve">17.5 Os Anos 2000: consolidação da transição democrática e o novo </w:t>
      </w:r>
      <w:r>
        <w:rPr>
          <w:b/>
          <w:i/>
        </w:rPr>
        <w:t xml:space="preserve">boom </w:t>
      </w:r>
      <w:r>
        <w:rPr>
          <w:b/>
        </w:rPr>
        <w:t>externo</w:t>
      </w:r>
    </w:p>
    <w:p w:rsidR="00B10D19" w:rsidRDefault="00B10D19" w:rsidP="00B10D19">
      <w:pPr>
        <w:spacing w:line="360" w:lineRule="auto"/>
        <w:ind w:firstLine="708"/>
        <w:jc w:val="both"/>
      </w:pPr>
      <w:r>
        <w:t xml:space="preserve">A análise do item anterior sugere que a combinação da estabilização monetária com reformas estruturais liberalizantes logrou êxito no enfrentamento do quadro de inflação crônica do país e, em certa medida, na modernização da estrutura produtiva. Todavia, às vésperas das eleições de 2002, o Brasil havia acumulado significativos desajustes nos seus estoques de dívida pública e externa. A dívida líquida do setor público já estava acima de 50% do PIB, tinha seu prazo de maturação encurtado cada vez mais (com um giro médio inferior a três anos), apresentava um custo de carregamento de cerca de 8% do PIB (juros nominais sobre a dívida) e terminou o ano de 2002 com um perfil de indexação em que os títulos atrelados à variação cambial respondiam por 1/3 da dívida total. Ademais, as incertezas associadas ao processo eleitoral fizeram com que a taxa de câmbio disparasse, com uma desvalorização nominal de 60% entre janeiro e outubro de 2002. O </w:t>
      </w:r>
      <w:r>
        <w:rPr>
          <w:i/>
        </w:rPr>
        <w:t>pass-trough</w:t>
      </w:r>
      <w:r>
        <w:t xml:space="preserve"> cambial operou de forma rápida, e tanto a inflação anualizada quanto as expectativas de inflação futura sinalizavam uma trajetória explosiva. Havia um temor generalizado na volta da indexação e no descontrole macroeconômico.   </w:t>
      </w:r>
    </w:p>
    <w:p w:rsidR="00B10D19" w:rsidRDefault="00B10D19" w:rsidP="00B10D19">
      <w:pPr>
        <w:spacing w:line="360" w:lineRule="auto"/>
        <w:ind w:firstLine="708"/>
        <w:jc w:val="both"/>
      </w:pPr>
      <w:r>
        <w:t>Qualquer novo governo que assumisse em tais condições muito provavelmente teria como prioridade, ao menos no curto prazo, o retorno à “normalidade”, mesmo que isso implicasse na adoção de medidas fiscais e monetárias fortemente contracionistas. No caso concreto do Brasil, o governo recém eleito contava com uma significativa desconfiança do mercado financeiro internacional. A campanha eleitoral havia acirrado os ânimos políticos. Isto levou o então candidato de oposição a uma intensa busca de apoio junto ao setor privado. Símbolo disso foi a elaboração, na reta final da campanha, da “Carta ao Povo Brasileiro”, uma afirmação de compromissos com a manutenção da estabilidade econômica e o respeito aos contratos. Observadores contemporâneos passaram a observar que a chegada ao poder do principal líder da “esquerda” brasileira nas últimas três décadas e, mais importante, da manutenção de um conjunto amplo de políticas e de contratos, representou a consolidação da transição democrática pós-regime militar.</w:t>
      </w:r>
    </w:p>
    <w:p w:rsidR="00B10D19" w:rsidRDefault="00B10D19" w:rsidP="00B10D19">
      <w:pPr>
        <w:spacing w:line="360" w:lineRule="auto"/>
        <w:ind w:firstLine="708"/>
        <w:jc w:val="both"/>
      </w:pPr>
      <w:r>
        <w:t xml:space="preserve">É no contexto de uma transição complexa e em meio às pressões financeiras geradas pela desconfiança dos credores é que se deve analisar as opções e estratégias de “continuidade” a despeito das críticas prévias contra as políticas econômicas do governo </w:t>
      </w:r>
      <w:r>
        <w:lastRenderedPageBreak/>
        <w:t xml:space="preserve">Cardo. A montagem da equipe econômica do governo Lula e o anúncio das primeiras medidas revelaram o esforço de manutenção do </w:t>
      </w:r>
      <w:r>
        <w:rPr>
          <w:i/>
        </w:rPr>
        <w:t>status quo</w:t>
      </w:r>
      <w:r>
        <w:t>. No plano econômico, o enfrentamento da “crise de credibilidade” deu-se pelo aperto na política monetária e fiscal. A taxa básica de juros (SELIC) foi elevada para 26,5% ao ano, em termos nominais, o que implicava uma taxa real superior a 10%. A partir de junho de 2003, iniciou-se um processo de redução da SELIC que, todavia, acompanhou a própria queda da inflação corrente e esperada, de modo que a taxa real de juros (</w:t>
      </w:r>
      <w:r>
        <w:rPr>
          <w:i/>
        </w:rPr>
        <w:t>ex-ante</w:t>
      </w:r>
      <w:r>
        <w:t xml:space="preserve"> e </w:t>
      </w:r>
      <w:r>
        <w:rPr>
          <w:i/>
        </w:rPr>
        <w:t>ex-post</w:t>
      </w:r>
      <w:r>
        <w:t xml:space="preserve">) manteve-se em patamares elevados nos primeiros anos do novo governo. No plano fiscal, o governo comprometeu-se com uma meta de superávit primário (receitas menos despesas dos três níveis de governo, excluindo-se o pagamento de juros) de 4,25% do PIB, um valor superior àquele acordado com o FMI no governo anterior. Reformas estruturais, aprovadas no final de 2003, como a previdenciária e tributária, enfatizaram os ganhos fiscais de curto prazo em detrimento do equacionamento de desequilíbrios de longo prazo, especialmente no que se refere à regressividade do sistema tributário brasileiro. Aqui é importante lembrar que a política macroeconômica do período 1999-2002 foi marcada pela busca de superávits primários elevados, como forma de se criar poupança pública, toda ela direcionada para o pagamento de parte dos juros da dívida interna. Para tanto, a carga tributária foi elevada de 26% para mais de 35% do PIB. </w:t>
      </w:r>
    </w:p>
    <w:p w:rsidR="00B10D19" w:rsidRDefault="00B10D19" w:rsidP="00B10D19">
      <w:pPr>
        <w:pStyle w:val="Lista"/>
        <w:spacing w:line="360" w:lineRule="auto"/>
        <w:ind w:left="0" w:firstLine="708"/>
        <w:jc w:val="both"/>
        <w:rPr>
          <w:rFonts w:ascii="Times New Roman" w:hAnsi="Times New Roman"/>
          <w:sz w:val="24"/>
          <w:szCs w:val="24"/>
        </w:rPr>
      </w:pPr>
      <w:r>
        <w:rPr>
          <w:rFonts w:ascii="Times New Roman" w:hAnsi="Times New Roman"/>
          <w:sz w:val="24"/>
          <w:szCs w:val="24"/>
        </w:rPr>
        <w:t xml:space="preserve">Os principais resultados das políticas implementadas podem ser divididos em dois grandes blocos: (i) sucesso na reversão das expectativas pessimistas do mercado financeiro, com impactos positivos sobre a trajetória da inflação e o gerenciamento da dívida pública; (ii) manutenção de um quadro de crescimento inferior ao verificado na média mundial. A partir de 2003, a conjuntura externa foi excepcionalmente favorável, contribuindo decisivamente para a correção dos desequilíbrios externos. Os resultados em conta corrente passaram a ser superavitários, comandados por recordes sucessivos na balança comercial. A relação dívida líquida do setor público/PIB recuou, tendo o perfil de financiamento melhorado, pela menor exposição à variação cambial e aos títulos pós-fixados e referidos à variação cambial, além do alongamento de prazos. Houve forte queda no risco-país, e os indicadores de solvência externa – que relacionam os passivos contraídos e as exportações – e liquidez externa – passivos externos </w:t>
      </w:r>
      <w:r>
        <w:rPr>
          <w:rFonts w:ascii="Times New Roman" w:hAnsi="Times New Roman"/>
          <w:i/>
          <w:sz w:val="24"/>
          <w:szCs w:val="24"/>
        </w:rPr>
        <w:t>versus</w:t>
      </w:r>
      <w:r>
        <w:rPr>
          <w:rFonts w:ascii="Times New Roman" w:hAnsi="Times New Roman"/>
          <w:sz w:val="24"/>
          <w:szCs w:val="24"/>
        </w:rPr>
        <w:t xml:space="preserve"> reservas internacionais – melhoraram de forma substantiva. A inflação recuou para a casa de 4% ao ano – menos da metade da média do período 1995-2002 – e o crescimento da renda </w:t>
      </w:r>
      <w:r>
        <w:rPr>
          <w:rFonts w:ascii="Times New Roman" w:hAnsi="Times New Roman"/>
          <w:sz w:val="24"/>
          <w:szCs w:val="24"/>
        </w:rPr>
        <w:lastRenderedPageBreak/>
        <w:t>atingiu o patamar médio de 3,5% a.a.</w:t>
      </w:r>
      <w:r>
        <w:rPr>
          <w:rStyle w:val="Refdenotaderodap"/>
          <w:sz w:val="24"/>
          <w:szCs w:val="24"/>
        </w:rPr>
        <w:footnoteReference w:id="69"/>
      </w:r>
      <w:r>
        <w:rPr>
          <w:rFonts w:ascii="Times New Roman" w:hAnsi="Times New Roman"/>
          <w:sz w:val="24"/>
          <w:szCs w:val="24"/>
        </w:rPr>
        <w:t>. Com isso, o Brasil aproximou-se, ao final da primeira década dos anos 2000, de uma posição de maior conforto relativo para retomar uma trajetória desenvolvimento. Isto porque, pela primeira vez em um quarto de século, as pressões geradas por crises cambiais e/ou descontrole inflacionário não contaminavam a agenda de curto prazo do país.</w:t>
      </w:r>
    </w:p>
    <w:p w:rsidR="00B10D19" w:rsidRDefault="00B10D19" w:rsidP="00B10D19">
      <w:pPr>
        <w:pStyle w:val="Lista"/>
        <w:spacing w:line="360" w:lineRule="auto"/>
        <w:ind w:left="0" w:firstLine="0"/>
        <w:jc w:val="both"/>
        <w:rPr>
          <w:rFonts w:ascii="Times New Roman" w:hAnsi="Times New Roman"/>
          <w:sz w:val="24"/>
          <w:szCs w:val="24"/>
        </w:rPr>
      </w:pPr>
    </w:p>
    <w:p w:rsidR="00B10D19" w:rsidRDefault="00B10D19" w:rsidP="00B10D19">
      <w:pPr>
        <w:pStyle w:val="Lista"/>
        <w:spacing w:line="360" w:lineRule="auto"/>
        <w:ind w:left="0" w:firstLine="0"/>
        <w:jc w:val="both"/>
        <w:rPr>
          <w:rFonts w:ascii="Times New Roman" w:hAnsi="Times New Roman"/>
          <w:sz w:val="24"/>
          <w:szCs w:val="24"/>
        </w:rPr>
      </w:pPr>
      <w:r>
        <w:rPr>
          <w:rFonts w:ascii="Times New Roman" w:hAnsi="Times New Roman"/>
          <w:b/>
          <w:sz w:val="24"/>
          <w:szCs w:val="24"/>
        </w:rPr>
        <w:t>17.6</w:t>
      </w:r>
      <w:r>
        <w:rPr>
          <w:rFonts w:ascii="Times New Roman" w:hAnsi="Times New Roman"/>
          <w:sz w:val="24"/>
          <w:szCs w:val="24"/>
        </w:rPr>
        <w:t xml:space="preserve"> </w:t>
      </w:r>
      <w:r>
        <w:rPr>
          <w:rFonts w:ascii="Times New Roman" w:hAnsi="Times New Roman"/>
          <w:b/>
          <w:sz w:val="24"/>
          <w:szCs w:val="24"/>
        </w:rPr>
        <w:t>Desafios para o Século XXI</w:t>
      </w:r>
    </w:p>
    <w:p w:rsidR="00B10D19" w:rsidRDefault="00B10D19" w:rsidP="00B10D19">
      <w:pPr>
        <w:pStyle w:val="Lista"/>
        <w:spacing w:line="360" w:lineRule="auto"/>
        <w:ind w:left="0" w:firstLine="0"/>
        <w:jc w:val="both"/>
        <w:rPr>
          <w:rFonts w:ascii="Times New Roman" w:hAnsi="Times New Roman"/>
          <w:sz w:val="24"/>
          <w:szCs w:val="24"/>
        </w:rPr>
      </w:pPr>
      <w:r>
        <w:rPr>
          <w:rFonts w:ascii="Times New Roman" w:hAnsi="Times New Roman"/>
          <w:sz w:val="24"/>
          <w:szCs w:val="24"/>
        </w:rPr>
        <w:tab/>
        <w:t>Entre as crises de 1929 e de 1982, o Brasil experimentou uma mudança estrutural em sua economia e sociedade. O modelo agro-exportador deu lugar a um padrão de crescimento baseado na industrialização e urbanização. Este período foi sendo denominado de “nacional-desenvolvimentista”, o que seria um quase-sinônimo de “substituição de importações” ou “modelo introvertido”. Tais expressões traduziriam o “modelo de desenvolvimento” perseguido pelo Brasil e outros países periféricos, especialmente na América Latina, onde se constatava um forte papel do Estado como condutor do processo de modernização e uma ênfase nos mercados internos. Seus principais resultados foram a expansão expressiva da renda e a constituição de uma estrutura produtiva diversificada e integrada, baseada em uma indústria moderna – para os parâmetros então vigentes – e uma infra-estrutura que fora capaz de integrar a nação em sua vasta base territorial. Na perspectiva dos anos 1970 o Brasil era um sucesso inequívoco. As falhas do modelo, se já não eram plenamente conhecidas, já se faziam conhecer em contornos cada vez mais nítidos: (i) a fragilidade do padrão de financiamento, manifesta na inflação crônica e nos problemas recorrentes de balanço de pagamento e endividamento externo; (ii) a baixa capacidade de gerar tecnologia a partir de esforços internos ao país; e (iii) a manutenção de um quadro estrutural de má distribuição de renda, poder e oportunidades. Neste sentido, o sucesso econômico não teria se traduzido plenamente em desenvolvimento, quando se toma uma definição do tipo furtadiana</w:t>
      </w:r>
      <w:r>
        <w:rPr>
          <w:rStyle w:val="Refdenotaderodap"/>
          <w:sz w:val="24"/>
          <w:szCs w:val="24"/>
        </w:rPr>
        <w:footnoteReference w:id="70"/>
      </w:r>
      <w:r>
        <w:rPr>
          <w:rFonts w:ascii="Times New Roman" w:hAnsi="Times New Roman"/>
          <w:sz w:val="24"/>
          <w:szCs w:val="24"/>
        </w:rPr>
        <w:t>.</w:t>
      </w:r>
    </w:p>
    <w:p w:rsidR="00B10D19" w:rsidRDefault="00B10D19" w:rsidP="00B10D19">
      <w:pPr>
        <w:pStyle w:val="Lista"/>
        <w:spacing w:line="360" w:lineRule="auto"/>
        <w:ind w:left="0" w:firstLine="0"/>
        <w:jc w:val="both"/>
        <w:rPr>
          <w:rFonts w:ascii="Times New Roman" w:hAnsi="Times New Roman"/>
          <w:sz w:val="24"/>
          <w:szCs w:val="24"/>
        </w:rPr>
      </w:pPr>
      <w:r>
        <w:rPr>
          <w:rFonts w:ascii="Times New Roman" w:hAnsi="Times New Roman"/>
          <w:sz w:val="24"/>
          <w:szCs w:val="24"/>
        </w:rPr>
        <w:lastRenderedPageBreak/>
        <w:tab/>
        <w:t>A crise da dívida externa (1982) inaugurou um longo período de instabilidade macroeconômica e baixo crescimento, que acabou coincidindo com um novo ciclo de redemocratização no país e, assim, de elevadas expectativas quanto à capacidade do Estado resgata sua “dívida social”. A partir do Plano Real (1994) as bases para a estabilidade foram sendo reconstituídas. No início do século XXI, mesmo com um crescimento econômico ainda baixo, quando se toma por parâmetros a média mundial e, mais importante, a média de crescimento dos países emergentes, o Brasil encontrava-se em uma posição relativamente mais favorável para se relançar em um novo processo de desenvolvimento. A situação geopolítica era inédita em mais de cinco séculos de expansão comercial e industrial liderada pela Europa e, depois, EUA. Pela primeira vez, desde o advento do nascimento e consolidação da indústria moderna e, por decorrência, do predomínio do mundo urbano sobre o rural, os países da periferia tomaram a frente do centro capitalista em termos de renda e de determinação do ritmo de crescimento mundial. A ascensão de China e Índia, representando um terço da humanidade, à condição de potências globais, alterou completamente o quadro da ordem internacional.</w:t>
      </w:r>
    </w:p>
    <w:p w:rsidR="00B10D19" w:rsidRDefault="00B10D19" w:rsidP="00B10D19">
      <w:pPr>
        <w:pStyle w:val="Lista"/>
        <w:spacing w:line="360" w:lineRule="auto"/>
        <w:ind w:left="0" w:firstLine="0"/>
        <w:jc w:val="both"/>
        <w:rPr>
          <w:rFonts w:ascii="Times New Roman" w:hAnsi="Times New Roman"/>
          <w:sz w:val="24"/>
          <w:szCs w:val="24"/>
        </w:rPr>
      </w:pPr>
      <w:r>
        <w:rPr>
          <w:rFonts w:ascii="Times New Roman" w:hAnsi="Times New Roman"/>
          <w:sz w:val="24"/>
          <w:szCs w:val="24"/>
        </w:rPr>
        <w:tab/>
        <w:t xml:space="preserve">Esta nova situação encontra o Brasil em posição privilegiada. O país é uma das maiores economias do mundo e possui recursos naturais estratégicos para a realidade que se colocará nas próximas décadas: a auto-suficiência energética, agora potencializada para crescente capacidade de exportar energias renováveis (etanol) e não-renováveis (petróleo); a existência de uma fronteira agrícola ainda por ser explorada, o que torna o país uma das poucas regiões com potencial de expansão da oferta de alimentos sob bases ambientalmente sustentáveis (se os recursos forem utilizados racionalmente); isto se associa a existência de água em abundância e de um amplo leque de recursos minerais. É importante lembrar que o processo acelerado de urbanização e industrialização na Índia e China, que ainda mantém mais de 60% de suas populações vivendo no meio rural, criará uma tendência de elevação na demanda por matérias-primas e energia. Não à toa os preços destas </w:t>
      </w:r>
      <w:r>
        <w:rPr>
          <w:rFonts w:ascii="Times New Roman" w:hAnsi="Times New Roman"/>
          <w:i/>
          <w:sz w:val="24"/>
          <w:szCs w:val="24"/>
        </w:rPr>
        <w:t>commodities</w:t>
      </w:r>
      <w:r>
        <w:rPr>
          <w:rFonts w:ascii="Times New Roman" w:hAnsi="Times New Roman"/>
          <w:sz w:val="24"/>
          <w:szCs w:val="24"/>
        </w:rPr>
        <w:t xml:space="preserve"> vêm crescendo desde 2002, quando a ascensão destas novas potências se tornou mais evidente nos mercados internacionais, melhorando os termos de intercâmbio dos mercados emergentes e criando um novo ciclo de crescimento na América Latina e África, cujas economias crescem de forma mais acelerada, com melhoria nas condições fiscais e de balanço de pagamentos. Por fim, o Brasil conta com os trunfos da consolidação da democracia e da estabilidade macroeconômica.</w:t>
      </w:r>
    </w:p>
    <w:p w:rsidR="00B10D19" w:rsidRDefault="00B10D19" w:rsidP="00B10D19">
      <w:pPr>
        <w:pStyle w:val="Lista"/>
        <w:spacing w:line="360" w:lineRule="auto"/>
        <w:ind w:left="0" w:firstLine="0"/>
        <w:jc w:val="both"/>
        <w:rPr>
          <w:rFonts w:ascii="Times New Roman" w:hAnsi="Times New Roman"/>
          <w:sz w:val="24"/>
          <w:szCs w:val="24"/>
        </w:rPr>
      </w:pPr>
      <w:r>
        <w:rPr>
          <w:rFonts w:ascii="Times New Roman" w:hAnsi="Times New Roman"/>
          <w:sz w:val="24"/>
          <w:szCs w:val="24"/>
        </w:rPr>
        <w:tab/>
        <w:t xml:space="preserve">Neste quadro, o país tem diante de si oportunidades e riscos importantes. A principal oportunidade é a de retomar um ritmo mais acelerado de crescimento </w:t>
      </w:r>
      <w:r>
        <w:rPr>
          <w:rFonts w:ascii="Times New Roman" w:hAnsi="Times New Roman"/>
          <w:sz w:val="24"/>
          <w:szCs w:val="24"/>
        </w:rPr>
        <w:lastRenderedPageBreak/>
        <w:t xml:space="preserve">econômico, agora sob bases macroeconômicas mais sólidas, posto que parecem afastados os fantasmas da inflação descontrolada e de crises de balanço de pagamentos ao estilo de 1982. Os riscos também não são desprezíveis, e poderiam ser sintetizados na idéia da qualidade deste novo ciclo potencial de expansão. No plano produtivo, a forte demanda chinesa por matérias-primas associada a crescente concorrência de sua produção manufatureira podem levar a uma perda importante de densidade do parque produtivo industrial. Com isso o país poderia retornar uma situação equivalente à vivida no auge do modelo agro-exportador, se inserindo internacionalmente como fornecedor de </w:t>
      </w:r>
      <w:r>
        <w:rPr>
          <w:rFonts w:ascii="Times New Roman" w:hAnsi="Times New Roman"/>
          <w:i/>
          <w:sz w:val="24"/>
          <w:szCs w:val="24"/>
        </w:rPr>
        <w:t>commodities</w:t>
      </w:r>
      <w:r>
        <w:rPr>
          <w:rFonts w:ascii="Times New Roman" w:hAnsi="Times New Roman"/>
          <w:sz w:val="24"/>
          <w:szCs w:val="24"/>
        </w:rPr>
        <w:t xml:space="preserve"> e importador de produtos industrializados. Tal padrão concentrava renda, riqueza e oportunidades, reduzia as possibilidades de incremento dos salários reais e não requeria avanços na qualificação de recursos humanos. Sua reprodução, no século XXI, poderia piorar um quadro já desconfortável de elevada desigualdade distributiva. Portanto, o principal desafio do século XXI será o de produzir uma trajetória de crescimento capaz de se traduzir em desenvolvimento, sob bases ambientais e sociais mais sustentáveis do que as vigentes na segunda metade do século XX.</w:t>
      </w:r>
    </w:p>
    <w:p w:rsidR="00B10D19" w:rsidRDefault="00B10D19" w:rsidP="00B10D19">
      <w:pPr>
        <w:pStyle w:val="Lista"/>
        <w:spacing w:line="360" w:lineRule="auto"/>
        <w:ind w:left="0" w:firstLine="0"/>
        <w:jc w:val="both"/>
        <w:rPr>
          <w:rFonts w:ascii="Times New Roman" w:hAnsi="Times New Roman"/>
          <w:sz w:val="24"/>
          <w:szCs w:val="24"/>
        </w:rPr>
      </w:pPr>
    </w:p>
    <w:p w:rsidR="00B10D19" w:rsidRDefault="00B10D19" w:rsidP="00B10D19">
      <w:pPr>
        <w:pStyle w:val="Lista"/>
        <w:spacing w:line="360" w:lineRule="auto"/>
        <w:ind w:left="0" w:firstLine="0"/>
        <w:jc w:val="both"/>
        <w:rPr>
          <w:rFonts w:ascii="Times New Roman" w:hAnsi="Times New Roman"/>
          <w:sz w:val="24"/>
          <w:szCs w:val="24"/>
        </w:rPr>
      </w:pPr>
    </w:p>
    <w:p w:rsidR="00B10D19" w:rsidRDefault="00B10D19" w:rsidP="00B10D19">
      <w:pPr>
        <w:pStyle w:val="Lista"/>
        <w:spacing w:line="360" w:lineRule="auto"/>
        <w:ind w:left="0" w:firstLine="0"/>
        <w:jc w:val="both"/>
        <w:rPr>
          <w:rFonts w:ascii="Times New Roman" w:hAnsi="Times New Roman"/>
          <w:sz w:val="24"/>
          <w:szCs w:val="24"/>
        </w:rPr>
      </w:pPr>
    </w:p>
    <w:p w:rsidR="00B10D19" w:rsidRDefault="00B10D19" w:rsidP="00B10D19">
      <w:pPr>
        <w:pStyle w:val="Lista"/>
        <w:spacing w:line="360" w:lineRule="auto"/>
        <w:ind w:left="0" w:firstLine="0"/>
        <w:jc w:val="both"/>
        <w:rPr>
          <w:rFonts w:ascii="Times New Roman" w:hAnsi="Times New Roman"/>
          <w:sz w:val="24"/>
          <w:szCs w:val="24"/>
        </w:rPr>
      </w:pPr>
    </w:p>
    <w:p w:rsidR="00B10D19" w:rsidRDefault="00B10D19" w:rsidP="00B10D19">
      <w:pPr>
        <w:pStyle w:val="Lista"/>
        <w:spacing w:line="360" w:lineRule="auto"/>
        <w:ind w:left="0" w:firstLine="0"/>
        <w:jc w:val="both"/>
        <w:rPr>
          <w:rFonts w:ascii="Times New Roman" w:hAnsi="Times New Roman"/>
          <w:sz w:val="24"/>
          <w:szCs w:val="24"/>
        </w:rPr>
      </w:pPr>
    </w:p>
    <w:p w:rsidR="00B10D19" w:rsidRDefault="00B10D19" w:rsidP="00B10D19">
      <w:pPr>
        <w:pStyle w:val="Lista"/>
        <w:spacing w:line="360" w:lineRule="auto"/>
        <w:ind w:left="0" w:firstLine="0"/>
        <w:jc w:val="both"/>
        <w:rPr>
          <w:rFonts w:ascii="Times New Roman" w:hAnsi="Times New Roman"/>
          <w:sz w:val="24"/>
          <w:szCs w:val="24"/>
        </w:rPr>
      </w:pPr>
    </w:p>
    <w:p w:rsidR="00B10D19" w:rsidRDefault="00B10D19" w:rsidP="00B10D19">
      <w:pPr>
        <w:pStyle w:val="Lista"/>
        <w:spacing w:line="360" w:lineRule="auto"/>
        <w:ind w:left="0" w:firstLine="0"/>
        <w:jc w:val="both"/>
        <w:rPr>
          <w:rFonts w:ascii="Times New Roman" w:hAnsi="Times New Roman"/>
          <w:sz w:val="24"/>
          <w:szCs w:val="24"/>
        </w:rPr>
      </w:pPr>
    </w:p>
    <w:p w:rsidR="00B10D19" w:rsidRDefault="00B10D19" w:rsidP="00B10D19">
      <w:pPr>
        <w:pStyle w:val="Lista"/>
        <w:spacing w:line="360" w:lineRule="auto"/>
        <w:ind w:left="0" w:firstLine="0"/>
        <w:jc w:val="both"/>
        <w:rPr>
          <w:rFonts w:ascii="Times New Roman" w:hAnsi="Times New Roman"/>
          <w:sz w:val="24"/>
          <w:szCs w:val="24"/>
        </w:rPr>
      </w:pPr>
    </w:p>
    <w:p w:rsidR="00B10D19" w:rsidRDefault="00B10D19" w:rsidP="00B10D19">
      <w:pPr>
        <w:pStyle w:val="Lista"/>
        <w:spacing w:line="360" w:lineRule="auto"/>
        <w:ind w:left="0" w:firstLine="0"/>
        <w:jc w:val="both"/>
        <w:rPr>
          <w:rFonts w:ascii="Times New Roman" w:hAnsi="Times New Roman"/>
          <w:sz w:val="24"/>
          <w:szCs w:val="24"/>
        </w:rPr>
      </w:pPr>
    </w:p>
    <w:p w:rsidR="00B10D19" w:rsidRDefault="00B10D19" w:rsidP="00B10D19">
      <w:pPr>
        <w:pStyle w:val="Lista"/>
        <w:spacing w:line="360" w:lineRule="auto"/>
        <w:ind w:left="0" w:firstLine="0"/>
        <w:jc w:val="both"/>
        <w:rPr>
          <w:rFonts w:ascii="Times New Roman" w:hAnsi="Times New Roman"/>
        </w:rPr>
      </w:pPr>
    </w:p>
    <w:p w:rsidR="00B10D19" w:rsidRDefault="00B10D19" w:rsidP="00B10D19">
      <w:pPr>
        <w:pStyle w:val="Lista"/>
        <w:spacing w:line="360" w:lineRule="auto"/>
        <w:ind w:left="0" w:firstLine="0"/>
        <w:jc w:val="center"/>
        <w:rPr>
          <w:rFonts w:ascii="Times New Roman" w:hAnsi="Times New Roman"/>
          <w:b/>
          <w:bCs/>
          <w:sz w:val="24"/>
        </w:rPr>
      </w:pPr>
      <w:r>
        <w:rPr>
          <w:rFonts w:ascii="Times New Roman" w:hAnsi="Times New Roman"/>
          <w:sz w:val="24"/>
        </w:rPr>
        <w:br w:type="page"/>
      </w:r>
      <w:r>
        <w:rPr>
          <w:rFonts w:ascii="Times New Roman" w:hAnsi="Times New Roman"/>
          <w:b/>
          <w:bCs/>
          <w:sz w:val="24"/>
        </w:rPr>
        <w:lastRenderedPageBreak/>
        <w:t>ANEXO</w:t>
      </w:r>
    </w:p>
    <w:p w:rsidR="00B10D19" w:rsidRDefault="00B10D19" w:rsidP="00B10D19">
      <w:pPr>
        <w:pStyle w:val="Lista"/>
        <w:spacing w:line="360" w:lineRule="auto"/>
        <w:jc w:val="both"/>
        <w:rPr>
          <w:rFonts w:ascii="Times New Roman" w:hAnsi="Times New Roman"/>
          <w:sz w:val="24"/>
        </w:rPr>
      </w:pPr>
      <w:r>
        <w:rPr>
          <w:rFonts w:ascii="Times New Roman" w:hAnsi="Times New Roman"/>
          <w:noProof/>
        </w:rPr>
        <w:drawing>
          <wp:anchor distT="0" distB="0" distL="114300" distR="114300" simplePos="0" relativeHeight="251659264" behindDoc="0" locked="0" layoutInCell="1" allowOverlap="1" wp14:anchorId="5358B9C5" wp14:editId="0DDB9C93">
            <wp:simplePos x="0" y="0"/>
            <wp:positionH relativeFrom="column">
              <wp:posOffset>685800</wp:posOffset>
            </wp:positionH>
            <wp:positionV relativeFrom="paragraph">
              <wp:posOffset>80010</wp:posOffset>
            </wp:positionV>
            <wp:extent cx="4431665" cy="5057140"/>
            <wp:effectExtent l="0" t="0" r="0" b="0"/>
            <wp:wrapNone/>
            <wp:docPr id="46" name="Imagem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31665" cy="5057140"/>
                    </a:xfrm>
                    <a:prstGeom prst="rect">
                      <a:avLst/>
                    </a:prstGeom>
                    <a:noFill/>
                  </pic:spPr>
                </pic:pic>
              </a:graphicData>
            </a:graphic>
            <wp14:sizeRelH relativeFrom="page">
              <wp14:pctWidth>0</wp14:pctWidth>
            </wp14:sizeRelH>
            <wp14:sizeRelV relativeFrom="page">
              <wp14:pctHeight>0</wp14:pctHeight>
            </wp14:sizeRelV>
          </wp:anchor>
        </w:drawing>
      </w: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r>
        <w:rPr>
          <w:rFonts w:ascii="Times New Roman" w:hAnsi="Times New Roman"/>
          <w:noProof/>
        </w:rPr>
        <w:drawing>
          <wp:anchor distT="0" distB="0" distL="114300" distR="114300" simplePos="0" relativeHeight="251660288" behindDoc="0" locked="0" layoutInCell="1" allowOverlap="1" wp14:anchorId="3D127D5B" wp14:editId="095FF09E">
            <wp:simplePos x="0" y="0"/>
            <wp:positionH relativeFrom="column">
              <wp:posOffset>0</wp:posOffset>
            </wp:positionH>
            <wp:positionV relativeFrom="paragraph">
              <wp:posOffset>80645</wp:posOffset>
            </wp:positionV>
            <wp:extent cx="5829300" cy="3314700"/>
            <wp:effectExtent l="0" t="0" r="0" b="0"/>
            <wp:wrapNone/>
            <wp:docPr id="32" name="Imagem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829300" cy="3314700"/>
                    </a:xfrm>
                    <a:prstGeom prst="rect">
                      <a:avLst/>
                    </a:prstGeom>
                    <a:noFill/>
                  </pic:spPr>
                </pic:pic>
              </a:graphicData>
            </a:graphic>
            <wp14:sizeRelH relativeFrom="page">
              <wp14:pctWidth>0</wp14:pctWidth>
            </wp14:sizeRelH>
            <wp14:sizeRelV relativeFrom="page">
              <wp14:pctHeight>0</wp14:pctHeight>
            </wp14:sizeRelV>
          </wp:anchor>
        </w:drawing>
      </w: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sz w:val="24"/>
        </w:rPr>
      </w:pPr>
    </w:p>
    <w:p w:rsidR="00B10D19" w:rsidRDefault="00B10D19" w:rsidP="00B10D19">
      <w:pPr>
        <w:pStyle w:val="Lista"/>
        <w:spacing w:line="360" w:lineRule="auto"/>
        <w:jc w:val="both"/>
        <w:rPr>
          <w:rFonts w:ascii="Times New Roman" w:hAnsi="Times New Roman"/>
          <w:b/>
          <w:bCs/>
          <w:sz w:val="24"/>
        </w:rPr>
      </w:pPr>
      <w:r>
        <w:rPr>
          <w:rFonts w:ascii="Times New Roman" w:hAnsi="Times New Roman"/>
          <w:sz w:val="24"/>
        </w:rPr>
        <w:br w:type="page"/>
      </w:r>
      <w:r>
        <w:rPr>
          <w:rFonts w:ascii="Times New Roman" w:hAnsi="Times New Roman"/>
          <w:b/>
          <w:bCs/>
          <w:sz w:val="24"/>
        </w:rPr>
        <w:lastRenderedPageBreak/>
        <w:t>Referências Bibliográficas</w:t>
      </w:r>
    </w:p>
    <w:p w:rsidR="00B10D19" w:rsidRDefault="00B10D19" w:rsidP="00B10D19">
      <w:pPr>
        <w:pStyle w:val="Lista"/>
        <w:spacing w:line="360" w:lineRule="auto"/>
        <w:jc w:val="both"/>
        <w:rPr>
          <w:rFonts w:ascii="Times New Roman" w:hAnsi="Times New Roman"/>
          <w:sz w:val="24"/>
        </w:rPr>
      </w:pPr>
    </w:p>
    <w:p w:rsidR="00B10D19" w:rsidRPr="009F1F35" w:rsidRDefault="00B10D19" w:rsidP="00B10D19">
      <w:pPr>
        <w:pStyle w:val="Lista"/>
        <w:spacing w:line="360" w:lineRule="auto"/>
        <w:jc w:val="both"/>
        <w:rPr>
          <w:rFonts w:ascii="Times New Roman" w:hAnsi="Times New Roman"/>
          <w:sz w:val="24"/>
          <w:lang w:val="en-US"/>
        </w:rPr>
      </w:pPr>
      <w:r>
        <w:rPr>
          <w:rFonts w:ascii="Times New Roman" w:hAnsi="Times New Roman"/>
          <w:sz w:val="24"/>
        </w:rPr>
        <w:t xml:space="preserve">ABREU, M. P. </w:t>
      </w:r>
      <w:r>
        <w:rPr>
          <w:rFonts w:ascii="Times New Roman" w:hAnsi="Times New Roman"/>
          <w:i/>
          <w:sz w:val="24"/>
        </w:rPr>
        <w:t>A Ordem do Progresso: 100 anos de política econômica republicana</w:t>
      </w:r>
      <w:r>
        <w:rPr>
          <w:rFonts w:ascii="Times New Roman" w:hAnsi="Times New Roman"/>
          <w:sz w:val="24"/>
        </w:rPr>
        <w:t xml:space="preserve">. </w:t>
      </w:r>
      <w:r w:rsidRPr="009F1F35">
        <w:rPr>
          <w:rFonts w:ascii="Times New Roman" w:hAnsi="Times New Roman"/>
          <w:sz w:val="24"/>
          <w:lang w:val="en-US"/>
        </w:rPr>
        <w:t>Rio de Janeiro: Campus, 1992.</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AIZENMAN, J., NOY, A. </w:t>
      </w:r>
      <w:r>
        <w:rPr>
          <w:rFonts w:ascii="Times New Roman" w:hAnsi="Times New Roman"/>
          <w:i/>
          <w:sz w:val="24"/>
          <w:lang w:val="en-US"/>
        </w:rPr>
        <w:t>FDI and Trade</w:t>
      </w:r>
      <w:r>
        <w:rPr>
          <w:rFonts w:ascii="Times New Roman" w:hAnsi="Times New Roman"/>
          <w:sz w:val="24"/>
          <w:lang w:val="en-US"/>
        </w:rPr>
        <w:t>: two way linkages? NBER Working Paper n. 11403. Cambridge, MA: National Bureau of Economic Research, 2005.</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caps/>
          <w:sz w:val="24"/>
          <w:lang w:val="en-US"/>
        </w:rPr>
        <w:t>Akyüz, I.</w:t>
      </w:r>
      <w:r>
        <w:rPr>
          <w:rFonts w:ascii="Times New Roman" w:hAnsi="Times New Roman"/>
          <w:sz w:val="24"/>
          <w:lang w:val="en-US"/>
        </w:rPr>
        <w:t xml:space="preserve"> </w:t>
      </w:r>
      <w:r>
        <w:rPr>
          <w:rFonts w:ascii="Times New Roman" w:hAnsi="Times New Roman"/>
          <w:i/>
          <w:iCs/>
          <w:sz w:val="24"/>
          <w:lang w:val="en-US"/>
        </w:rPr>
        <w:t>Financial Liberalization</w:t>
      </w:r>
      <w:r>
        <w:rPr>
          <w:rFonts w:ascii="Times New Roman" w:hAnsi="Times New Roman"/>
          <w:sz w:val="24"/>
          <w:lang w:val="en-US"/>
        </w:rPr>
        <w:t>: the key issues. Geneve: United Nations Conference on Trade and Development, 1993. (UNCTAD Discussion Papers, n. 56).</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lang w:val="en-US"/>
        </w:rPr>
        <w:t xml:space="preserve">ALFARO L. </w:t>
      </w:r>
      <w:r>
        <w:rPr>
          <w:rFonts w:ascii="Times New Roman" w:hAnsi="Times New Roman"/>
          <w:i/>
          <w:sz w:val="24"/>
          <w:lang w:val="en-US"/>
        </w:rPr>
        <w:t>Foreign Direct Investment and Growth: does the sector matter?</w:t>
      </w:r>
      <w:r>
        <w:rPr>
          <w:rFonts w:ascii="Times New Roman" w:hAnsi="Times New Roman"/>
          <w:sz w:val="24"/>
          <w:lang w:val="en-US"/>
        </w:rPr>
        <w:t xml:space="preserve"> </w:t>
      </w:r>
      <w:r>
        <w:rPr>
          <w:rFonts w:ascii="Times New Roman" w:hAnsi="Times New Roman"/>
          <w:sz w:val="24"/>
        </w:rPr>
        <w:t>Boston: Harvard Business School, 2003. Disponível em: www.grips.ac.jp/teacher/oono/hp/docu01/paper14.pdf. Acesso em 15 de agosto de 2006.</w:t>
      </w:r>
    </w:p>
    <w:p w:rsidR="00B10D19" w:rsidRDefault="00B10D19" w:rsidP="00B10D19">
      <w:pPr>
        <w:pStyle w:val="Lista"/>
        <w:spacing w:line="360" w:lineRule="auto"/>
        <w:jc w:val="both"/>
        <w:rPr>
          <w:rFonts w:ascii="Times New Roman" w:hAnsi="Times New Roman"/>
          <w:sz w:val="22"/>
          <w:lang w:val="en-US"/>
        </w:rPr>
      </w:pPr>
      <w:r>
        <w:rPr>
          <w:rFonts w:ascii="Times New Roman" w:hAnsi="Times New Roman"/>
          <w:sz w:val="24"/>
        </w:rPr>
        <w:t xml:space="preserve">ALMEIDA, J.  S.  G. &amp;  NOVAIS,  L.  F. </w:t>
      </w:r>
      <w:r>
        <w:rPr>
          <w:rFonts w:ascii="Times New Roman" w:hAnsi="Times New Roman"/>
          <w:i/>
          <w:iCs/>
          <w:sz w:val="24"/>
        </w:rPr>
        <w:t>A Empresa Líder na Economia Brasileira</w:t>
      </w:r>
      <w:r>
        <w:rPr>
          <w:rFonts w:ascii="Times New Roman" w:hAnsi="Times New Roman"/>
          <w:sz w:val="24"/>
        </w:rPr>
        <w:t xml:space="preserve">: ajuste patrimonial e tendências do mark-up. </w:t>
      </w:r>
      <w:r>
        <w:rPr>
          <w:rFonts w:ascii="Times New Roman" w:hAnsi="Times New Roman"/>
          <w:sz w:val="24"/>
          <w:lang w:val="en-US"/>
        </w:rPr>
        <w:t>IESP/FUNDAP, 1991</w:t>
      </w:r>
      <w:r>
        <w:rPr>
          <w:rFonts w:ascii="Times New Roman" w:hAnsi="Times New Roman"/>
          <w:sz w:val="22"/>
          <w:lang w:val="en-US"/>
        </w:rPr>
        <w:t>.</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AMSDEN, A. H. </w:t>
      </w:r>
      <w:r>
        <w:rPr>
          <w:rFonts w:ascii="Times New Roman" w:hAnsi="Times New Roman"/>
          <w:bCs/>
          <w:i/>
          <w:iCs/>
          <w:sz w:val="24"/>
          <w:lang w:val="en-US"/>
        </w:rPr>
        <w:t>Asia´s Next Giant</w:t>
      </w:r>
      <w:r>
        <w:rPr>
          <w:rFonts w:ascii="Times New Roman" w:hAnsi="Times New Roman"/>
          <w:bCs/>
          <w:sz w:val="24"/>
          <w:lang w:val="en-US"/>
        </w:rPr>
        <w:t xml:space="preserve">: South Korea and late industrialization. </w:t>
      </w:r>
      <w:r>
        <w:rPr>
          <w:rFonts w:ascii="Times New Roman" w:hAnsi="Times New Roman"/>
          <w:sz w:val="24"/>
          <w:lang w:val="en-US"/>
        </w:rPr>
        <w:t>New York: Oxford University Press, 1989.</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AMSDEN, A. H. </w:t>
      </w:r>
      <w:r>
        <w:rPr>
          <w:rFonts w:ascii="Times New Roman" w:hAnsi="Times New Roman"/>
          <w:i/>
          <w:iCs/>
          <w:sz w:val="24"/>
          <w:lang w:val="en-US"/>
        </w:rPr>
        <w:t>The Rise of the Rest</w:t>
      </w:r>
      <w:r>
        <w:rPr>
          <w:rFonts w:ascii="Times New Roman" w:hAnsi="Times New Roman"/>
          <w:sz w:val="24"/>
          <w:lang w:val="en-US"/>
        </w:rPr>
        <w:t>: challenges to the West from late-industrializing countries. Oxford University Press, 2001.</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caps/>
          <w:sz w:val="24"/>
          <w:lang w:val="en-US"/>
        </w:rPr>
        <w:t xml:space="preserve">Ariyoshi, A., Habermeier, K., Laurens, B., Otker-Robe, I., Canales-Kriljenko, J.I., Kirilenko, A. </w:t>
      </w:r>
      <w:r>
        <w:rPr>
          <w:rFonts w:ascii="Times New Roman" w:hAnsi="Times New Roman"/>
          <w:i/>
          <w:iCs/>
          <w:sz w:val="24"/>
          <w:lang w:val="en-US"/>
        </w:rPr>
        <w:t>Capital Controls</w:t>
      </w:r>
      <w:r>
        <w:rPr>
          <w:rFonts w:ascii="Times New Roman" w:hAnsi="Times New Roman"/>
          <w:sz w:val="24"/>
          <w:lang w:val="en-US"/>
        </w:rPr>
        <w:t>: Country Experiences with Their Use and Liberalization. IMF Occasional Paper No. 190. Washington, DC: International Monetary Fund, 2000.</w:t>
      </w:r>
    </w:p>
    <w:p w:rsidR="00B10D19" w:rsidRDefault="00B10D19" w:rsidP="00B10D19">
      <w:pPr>
        <w:pStyle w:val="Lista"/>
        <w:spacing w:line="360" w:lineRule="auto"/>
        <w:ind w:left="284" w:hanging="284"/>
        <w:jc w:val="both"/>
        <w:rPr>
          <w:rFonts w:ascii="Times New Roman" w:hAnsi="Times New Roman"/>
          <w:sz w:val="24"/>
          <w:lang w:val="en-US"/>
        </w:rPr>
      </w:pPr>
      <w:r>
        <w:rPr>
          <w:rFonts w:ascii="Times New Roman" w:hAnsi="Times New Roman"/>
          <w:smallCaps/>
          <w:sz w:val="24"/>
          <w:lang w:val="en-US"/>
        </w:rPr>
        <w:t>ARROW</w:t>
      </w:r>
      <w:r>
        <w:rPr>
          <w:rFonts w:ascii="Times New Roman" w:hAnsi="Times New Roman"/>
          <w:sz w:val="24"/>
          <w:lang w:val="en-US"/>
        </w:rPr>
        <w:t xml:space="preserve">, J.K. Classificatory Notes on Production and Transmission of Technological Knowledge. </w:t>
      </w:r>
      <w:r>
        <w:rPr>
          <w:rFonts w:ascii="Times New Roman" w:hAnsi="Times New Roman"/>
          <w:bCs/>
          <w:i/>
          <w:iCs/>
          <w:sz w:val="24"/>
          <w:lang w:val="en-US"/>
        </w:rPr>
        <w:t>The American Economic Review</w:t>
      </w:r>
      <w:r>
        <w:rPr>
          <w:rFonts w:ascii="Times New Roman" w:hAnsi="Times New Roman"/>
          <w:sz w:val="24"/>
          <w:lang w:val="en-US"/>
        </w:rPr>
        <w:t xml:space="preserve">, v. LIX, n.2, may, p. 29-35; 1969. </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lang w:val="en-US"/>
        </w:rPr>
        <w:t xml:space="preserve">AZIZ, J., CARAMAZZA, F., SALGADO, R. </w:t>
      </w:r>
      <w:r>
        <w:rPr>
          <w:rFonts w:ascii="Times New Roman" w:hAnsi="Times New Roman"/>
          <w:i/>
          <w:iCs/>
          <w:sz w:val="24"/>
          <w:lang w:val="en-US"/>
        </w:rPr>
        <w:t>Currency Crises</w:t>
      </w:r>
      <w:r>
        <w:rPr>
          <w:rFonts w:ascii="Times New Roman" w:hAnsi="Times New Roman"/>
          <w:sz w:val="24"/>
          <w:lang w:val="en-US"/>
        </w:rPr>
        <w:t xml:space="preserve">: in search of common elements. </w:t>
      </w:r>
      <w:r>
        <w:rPr>
          <w:rFonts w:ascii="Times New Roman" w:hAnsi="Times New Roman"/>
          <w:sz w:val="24"/>
        </w:rPr>
        <w:t>IMF Working Paper, WP/00/67. Washington, DC: International Monetary Fund, 2000.</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rPr>
        <w:t xml:space="preserve">BAER, M. </w:t>
      </w:r>
      <w:r>
        <w:rPr>
          <w:rFonts w:ascii="Times New Roman" w:hAnsi="Times New Roman"/>
          <w:i/>
          <w:iCs/>
          <w:sz w:val="24"/>
        </w:rPr>
        <w:t>O Rumo Perdido</w:t>
      </w:r>
      <w:r>
        <w:rPr>
          <w:rFonts w:ascii="Times New Roman" w:hAnsi="Times New Roman"/>
          <w:sz w:val="24"/>
        </w:rPr>
        <w:t xml:space="preserve">: A Crise Fiscal e Financeira do Estado Brasileiro. </w:t>
      </w:r>
      <w:r>
        <w:rPr>
          <w:rFonts w:ascii="Times New Roman" w:hAnsi="Times New Roman"/>
          <w:sz w:val="24"/>
          <w:lang w:val="en-US"/>
        </w:rPr>
        <w:t>São Paulo: Paz e Terra, 1993.</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BAER, W. </w:t>
      </w:r>
      <w:r>
        <w:rPr>
          <w:rFonts w:ascii="Times New Roman" w:hAnsi="Times New Roman"/>
          <w:i/>
          <w:iCs/>
          <w:sz w:val="24"/>
          <w:lang w:val="en-US"/>
        </w:rPr>
        <w:t>Brazilian Economy</w:t>
      </w:r>
      <w:r>
        <w:rPr>
          <w:rFonts w:ascii="Times New Roman" w:hAnsi="Times New Roman"/>
          <w:sz w:val="24"/>
          <w:lang w:val="en-US"/>
        </w:rPr>
        <w:t>: growth and development. Westport, Praeger, 2001.</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lang w:val="en-US"/>
        </w:rPr>
        <w:t xml:space="preserve">BALASSA, B. Outward Orientation. In CHENERY, Hollis, SRINIVASSAN, T. N. </w:t>
      </w:r>
      <w:r>
        <w:rPr>
          <w:rFonts w:ascii="Times New Roman" w:hAnsi="Times New Roman"/>
          <w:bCs/>
          <w:i/>
          <w:iCs/>
          <w:sz w:val="24"/>
          <w:lang w:val="en-US"/>
        </w:rPr>
        <w:t>Handbook of Development Economics</w:t>
      </w:r>
      <w:r>
        <w:rPr>
          <w:rFonts w:ascii="Times New Roman" w:hAnsi="Times New Roman"/>
          <w:bCs/>
          <w:sz w:val="24"/>
          <w:lang w:val="en-US"/>
        </w:rPr>
        <w:t>, vol II.</w:t>
      </w:r>
      <w:r>
        <w:rPr>
          <w:rFonts w:ascii="Times New Roman" w:hAnsi="Times New Roman"/>
          <w:b/>
          <w:sz w:val="24"/>
          <w:lang w:val="en-US"/>
        </w:rPr>
        <w:t xml:space="preserve"> </w:t>
      </w:r>
      <w:r>
        <w:rPr>
          <w:rFonts w:ascii="Times New Roman" w:hAnsi="Times New Roman"/>
          <w:sz w:val="24"/>
        </w:rPr>
        <w:t>Elsevier Science Publishers, 1989.</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BANCO MUNDIAL. </w:t>
      </w:r>
      <w:r>
        <w:rPr>
          <w:rFonts w:ascii="Times New Roman" w:hAnsi="Times New Roman"/>
          <w:i/>
          <w:iCs/>
          <w:sz w:val="24"/>
        </w:rPr>
        <w:t>Relatório Sobre o Desenvolvimento Mundial 1991</w:t>
      </w:r>
      <w:r>
        <w:rPr>
          <w:rFonts w:ascii="Times New Roman" w:hAnsi="Times New Roman"/>
          <w:sz w:val="24"/>
        </w:rPr>
        <w:t>: O Desafio do Desenvolvimento. Rio de Janeiro: Fundação Getúlio Vargas, 1991.</w:t>
      </w:r>
    </w:p>
    <w:p w:rsidR="00B10D19" w:rsidRDefault="00B10D19" w:rsidP="00B10D19">
      <w:pPr>
        <w:pStyle w:val="Lista"/>
        <w:spacing w:line="360" w:lineRule="auto"/>
        <w:jc w:val="both"/>
        <w:rPr>
          <w:rFonts w:ascii="Times New Roman" w:hAnsi="Times New Roman"/>
          <w:sz w:val="24"/>
        </w:rPr>
      </w:pPr>
      <w:r w:rsidRPr="009F1F35">
        <w:rPr>
          <w:rFonts w:ascii="Times New Roman" w:hAnsi="Times New Roman"/>
          <w:caps/>
          <w:sz w:val="24"/>
        </w:rPr>
        <w:lastRenderedPageBreak/>
        <w:t>Barro, R. J., Sala-i-Martin</w:t>
      </w:r>
      <w:r w:rsidRPr="009F1F35">
        <w:rPr>
          <w:rFonts w:ascii="Times New Roman" w:hAnsi="Times New Roman"/>
          <w:sz w:val="24"/>
        </w:rPr>
        <w:t xml:space="preserve">, X. </w:t>
      </w:r>
      <w:r w:rsidRPr="009F1F35">
        <w:rPr>
          <w:rFonts w:ascii="Times New Roman" w:hAnsi="Times New Roman"/>
          <w:i/>
          <w:iCs/>
          <w:sz w:val="24"/>
        </w:rPr>
        <w:t>Economic Growth</w:t>
      </w:r>
      <w:r w:rsidRPr="009F1F35">
        <w:rPr>
          <w:rFonts w:ascii="Times New Roman" w:hAnsi="Times New Roman"/>
          <w:sz w:val="24"/>
        </w:rPr>
        <w:t>, 2</w:t>
      </w:r>
      <w:r w:rsidRPr="009F1F35">
        <w:rPr>
          <w:rFonts w:ascii="Times New Roman" w:hAnsi="Times New Roman"/>
          <w:sz w:val="24"/>
          <w:szCs w:val="24"/>
          <w:vertAlign w:val="superscript"/>
        </w:rPr>
        <w:t>nd</w:t>
      </w:r>
      <w:r w:rsidRPr="009F1F35">
        <w:rPr>
          <w:rFonts w:ascii="Times New Roman" w:hAnsi="Times New Roman"/>
          <w:sz w:val="24"/>
        </w:rPr>
        <w:t xml:space="preserve"> edition. </w:t>
      </w:r>
      <w:r>
        <w:rPr>
          <w:rFonts w:ascii="Times New Roman" w:hAnsi="Times New Roman"/>
          <w:sz w:val="24"/>
        </w:rPr>
        <w:t>Cambridge, MA: MIT Press, 2003.</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BARROS, J.R.M. e VERSIANI, F.R. </w:t>
      </w:r>
      <w:r>
        <w:rPr>
          <w:rFonts w:ascii="Times New Roman" w:hAnsi="Times New Roman"/>
          <w:i/>
          <w:iCs/>
          <w:sz w:val="24"/>
        </w:rPr>
        <w:t>Formação Econômica do Brasil</w:t>
      </w:r>
      <w:r>
        <w:rPr>
          <w:rFonts w:ascii="Times New Roman" w:hAnsi="Times New Roman"/>
          <w:sz w:val="24"/>
        </w:rPr>
        <w:t>: a experiência da industrialização. São Paulo: Saraiva,1978.</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BAUMANN, R.; CANUTO, O.; GONÇALVES, R. </w:t>
      </w:r>
      <w:r>
        <w:rPr>
          <w:rFonts w:ascii="Times New Roman" w:hAnsi="Times New Roman"/>
          <w:i/>
          <w:iCs/>
          <w:sz w:val="24"/>
        </w:rPr>
        <w:t>Economia Internacional</w:t>
      </w:r>
      <w:r>
        <w:rPr>
          <w:rFonts w:ascii="Times New Roman" w:hAnsi="Times New Roman"/>
          <w:sz w:val="24"/>
        </w:rPr>
        <w:t>: teoria e a experiência brasileira. Rio de Janeiro: Campus, 2004.</w:t>
      </w:r>
    </w:p>
    <w:p w:rsidR="00B10D19" w:rsidRPr="009F1F35" w:rsidRDefault="00B10D19" w:rsidP="00B10D19">
      <w:pPr>
        <w:pStyle w:val="Lista"/>
        <w:spacing w:line="360" w:lineRule="auto"/>
        <w:jc w:val="both"/>
        <w:rPr>
          <w:rFonts w:ascii="Times New Roman" w:hAnsi="Times New Roman"/>
          <w:sz w:val="24"/>
        </w:rPr>
      </w:pPr>
      <w:r>
        <w:rPr>
          <w:rFonts w:ascii="Times New Roman" w:hAnsi="Times New Roman"/>
          <w:sz w:val="24"/>
        </w:rPr>
        <w:t xml:space="preserve">BELLUZZO, L. G. M. &amp; ALMEIDA, J. S. G. </w:t>
      </w:r>
      <w:r>
        <w:rPr>
          <w:rFonts w:ascii="Times New Roman" w:hAnsi="Times New Roman"/>
          <w:i/>
          <w:iCs/>
          <w:sz w:val="24"/>
        </w:rPr>
        <w:t>Depois da Queda</w:t>
      </w:r>
      <w:r>
        <w:rPr>
          <w:rFonts w:ascii="Times New Roman" w:hAnsi="Times New Roman"/>
          <w:sz w:val="24"/>
        </w:rPr>
        <w:t xml:space="preserve">. </w:t>
      </w:r>
      <w:r w:rsidRPr="009F1F35">
        <w:rPr>
          <w:rFonts w:ascii="Times New Roman" w:hAnsi="Times New Roman"/>
          <w:sz w:val="24"/>
        </w:rPr>
        <w:t xml:space="preserve">Civilização Brasileira, 2002. </w:t>
      </w:r>
    </w:p>
    <w:p w:rsidR="00B10D19" w:rsidRPr="009F1F35" w:rsidRDefault="00B10D19" w:rsidP="00B10D19">
      <w:pPr>
        <w:spacing w:before="80" w:after="80" w:line="360" w:lineRule="auto"/>
        <w:ind w:left="520" w:hanging="520"/>
        <w:jc w:val="both"/>
        <w:rPr>
          <w:lang w:val="en-US"/>
        </w:rPr>
      </w:pPr>
      <w:r w:rsidRPr="009178C9">
        <w:t xml:space="preserve">BERSTEIN, P. </w:t>
      </w:r>
      <w:r w:rsidRPr="009178C9">
        <w:rPr>
          <w:i/>
        </w:rPr>
        <w:t>Desafio aos Deuses</w:t>
      </w:r>
      <w:r w:rsidRPr="009178C9">
        <w:t xml:space="preserve">. </w:t>
      </w:r>
      <w:r w:rsidRPr="009F1F35">
        <w:rPr>
          <w:lang w:val="en-US"/>
        </w:rPr>
        <w:t>Rio de Janeiro: Campus, 1997.</w:t>
      </w:r>
    </w:p>
    <w:p w:rsidR="00B10D19" w:rsidRDefault="00B10D19" w:rsidP="00B10D19">
      <w:pPr>
        <w:spacing w:before="80" w:after="80" w:line="360" w:lineRule="auto"/>
        <w:ind w:left="520" w:hanging="520"/>
        <w:jc w:val="both"/>
        <w:rPr>
          <w:szCs w:val="20"/>
          <w:lang w:val="en-US"/>
        </w:rPr>
      </w:pPr>
      <w:r>
        <w:rPr>
          <w:szCs w:val="20"/>
          <w:lang w:val="en-US"/>
        </w:rPr>
        <w:t xml:space="preserve">BEST, A., HANHIMAKI, J. M., MAIOLO, J. A., SCHULZE, K. </w:t>
      </w:r>
      <w:r>
        <w:rPr>
          <w:i/>
          <w:iCs/>
          <w:szCs w:val="20"/>
          <w:lang w:val="en-US"/>
        </w:rPr>
        <w:t>International History of the Twentieth Century</w:t>
      </w:r>
      <w:r>
        <w:rPr>
          <w:szCs w:val="20"/>
          <w:lang w:val="en-US"/>
        </w:rPr>
        <w:t>. New York, Routledge, 2005.</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BHAGWATI, J. (ed.). </w:t>
      </w:r>
      <w:r>
        <w:rPr>
          <w:rFonts w:ascii="Times New Roman" w:hAnsi="Times New Roman"/>
          <w:b/>
          <w:sz w:val="24"/>
          <w:lang w:val="en-US"/>
        </w:rPr>
        <w:t xml:space="preserve"> </w:t>
      </w:r>
      <w:r>
        <w:rPr>
          <w:rFonts w:ascii="Times New Roman" w:hAnsi="Times New Roman"/>
          <w:bCs/>
          <w:i/>
          <w:iCs/>
          <w:sz w:val="24"/>
          <w:lang w:val="en-US"/>
        </w:rPr>
        <w:t>International Trade</w:t>
      </w:r>
      <w:r>
        <w:rPr>
          <w:rFonts w:ascii="Times New Roman" w:hAnsi="Times New Roman"/>
          <w:bCs/>
          <w:sz w:val="24"/>
          <w:lang w:val="en-US"/>
        </w:rPr>
        <w:t>.</w:t>
      </w:r>
      <w:r>
        <w:rPr>
          <w:rFonts w:ascii="Times New Roman" w:hAnsi="Times New Roman"/>
          <w:sz w:val="24"/>
          <w:lang w:val="en-US"/>
        </w:rPr>
        <w:t xml:space="preserve"> Harmondsworth: Penguin Education, 1969.</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BHAGWATI, J. </w:t>
      </w:r>
      <w:r>
        <w:rPr>
          <w:rFonts w:ascii="Times New Roman" w:hAnsi="Times New Roman"/>
          <w:i/>
          <w:iCs/>
          <w:sz w:val="24"/>
          <w:lang w:val="en-US"/>
        </w:rPr>
        <w:t>The Capital Myth</w:t>
      </w:r>
      <w:r>
        <w:rPr>
          <w:rFonts w:ascii="Times New Roman" w:hAnsi="Times New Roman"/>
          <w:sz w:val="24"/>
          <w:lang w:val="en-US"/>
        </w:rPr>
        <w:t>: the difference between trade in widgets and trade in dollars. Foreign Affairs, 77, 7-12, 1998.</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BIS. </w:t>
      </w:r>
      <w:r>
        <w:rPr>
          <w:rFonts w:ascii="Times New Roman" w:hAnsi="Times New Roman"/>
          <w:i/>
          <w:iCs/>
          <w:sz w:val="24"/>
          <w:lang w:val="en-US"/>
        </w:rPr>
        <w:t>Financial Globalization</w:t>
      </w:r>
      <w:r>
        <w:rPr>
          <w:rFonts w:ascii="Times New Roman" w:hAnsi="Times New Roman"/>
          <w:sz w:val="24"/>
          <w:lang w:val="en-US"/>
        </w:rPr>
        <w:t>,</w:t>
      </w:r>
      <w:r>
        <w:rPr>
          <w:rFonts w:ascii="Times New Roman" w:hAnsi="Times New Roman"/>
          <w:i/>
          <w:iCs/>
          <w:sz w:val="24"/>
          <w:lang w:val="en-US"/>
        </w:rPr>
        <w:t xml:space="preserve"> </w:t>
      </w:r>
      <w:r>
        <w:rPr>
          <w:rFonts w:ascii="Times New Roman" w:hAnsi="Times New Roman"/>
          <w:sz w:val="24"/>
          <w:lang w:val="en-US"/>
        </w:rPr>
        <w:t>BIS  Paper n. 32 (December). Basle: Bank for International Settlements, 2006.</w:t>
      </w:r>
    </w:p>
    <w:p w:rsidR="00B10D19" w:rsidRPr="009F1F35" w:rsidRDefault="00B10D19" w:rsidP="00B10D19">
      <w:pPr>
        <w:pStyle w:val="Lista"/>
        <w:spacing w:line="360" w:lineRule="auto"/>
        <w:jc w:val="both"/>
        <w:rPr>
          <w:rFonts w:ascii="Times New Roman" w:hAnsi="Times New Roman"/>
          <w:sz w:val="24"/>
          <w:lang w:val="en-US"/>
        </w:rPr>
      </w:pPr>
      <w:r w:rsidRPr="006E1D19">
        <w:rPr>
          <w:rFonts w:ascii="Times New Roman" w:hAnsi="Times New Roman"/>
          <w:sz w:val="24"/>
        </w:rPr>
        <w:t xml:space="preserve">BLANCHARD, O. </w:t>
      </w:r>
      <w:r w:rsidRPr="006E1D19">
        <w:rPr>
          <w:rFonts w:ascii="Times New Roman" w:hAnsi="Times New Roman"/>
          <w:i/>
          <w:sz w:val="24"/>
        </w:rPr>
        <w:t>Macroeconomia</w:t>
      </w:r>
      <w:r w:rsidRPr="006E1D19">
        <w:rPr>
          <w:rFonts w:ascii="Times New Roman" w:hAnsi="Times New Roman"/>
          <w:sz w:val="24"/>
        </w:rPr>
        <w:t xml:space="preserve">: teoria e política econômica. </w:t>
      </w:r>
      <w:r w:rsidRPr="009F1F35">
        <w:rPr>
          <w:rFonts w:ascii="Times New Roman" w:hAnsi="Times New Roman"/>
          <w:sz w:val="24"/>
          <w:lang w:val="en-US"/>
        </w:rPr>
        <w:t>São Paulo: Campus, 2001.</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BLOCK, F. </w:t>
      </w:r>
      <w:r>
        <w:rPr>
          <w:rFonts w:ascii="Times New Roman" w:hAnsi="Times New Roman"/>
          <w:i/>
          <w:iCs/>
          <w:sz w:val="24"/>
          <w:lang w:val="en-US"/>
        </w:rPr>
        <w:t>The Origins of International Economic Disorder</w:t>
      </w:r>
      <w:r>
        <w:rPr>
          <w:rFonts w:ascii="Times New Roman" w:hAnsi="Times New Roman"/>
          <w:sz w:val="24"/>
          <w:lang w:val="en-US"/>
        </w:rPr>
        <w:t>. Berkeley: University of California Press, 1977.</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BONELLI, R. </w:t>
      </w:r>
      <w:r>
        <w:rPr>
          <w:rFonts w:ascii="Times New Roman" w:hAnsi="Times New Roman"/>
          <w:i/>
          <w:iCs/>
          <w:sz w:val="24"/>
        </w:rPr>
        <w:t>Ensaios Sobre Política Econômica e Industrialização no Brasil</w:t>
      </w:r>
      <w:r>
        <w:rPr>
          <w:rFonts w:ascii="Times New Roman" w:hAnsi="Times New Roman"/>
          <w:sz w:val="24"/>
        </w:rPr>
        <w:t xml:space="preserve">. Rio de Janeiro: SENAI-DEN/DITEC/DPEA/CIET, 1995. </w:t>
      </w:r>
    </w:p>
    <w:p w:rsidR="00B10D19" w:rsidRPr="008B5541" w:rsidRDefault="00B10D19" w:rsidP="00B10D19">
      <w:pPr>
        <w:spacing w:before="80" w:after="80" w:line="360" w:lineRule="auto"/>
        <w:ind w:left="520" w:hanging="520"/>
        <w:jc w:val="both"/>
        <w:rPr>
          <w:lang w:val="es-ES_tradnl"/>
        </w:rPr>
      </w:pPr>
      <w:r w:rsidRPr="009F1F35">
        <w:t xml:space="preserve">BONELLI, R. Labor Productivity in Brazil During the 1990´s. Texto Para Discussão, nº 906. </w:t>
      </w:r>
      <w:r w:rsidRPr="008B5541">
        <w:rPr>
          <w:lang w:val="es-ES_tradnl"/>
        </w:rPr>
        <w:t xml:space="preserve">Brasília: Instituto de Pesquisa Econômica Aplicada, 2002.  </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BONELLI, R. </w:t>
      </w:r>
      <w:r>
        <w:rPr>
          <w:rFonts w:ascii="Times New Roman" w:hAnsi="Times New Roman"/>
          <w:i/>
          <w:iCs/>
          <w:sz w:val="24"/>
        </w:rPr>
        <w:t>Uma Agenda de Política Industrial</w:t>
      </w:r>
      <w:r>
        <w:rPr>
          <w:rFonts w:ascii="Times New Roman" w:hAnsi="Times New Roman"/>
          <w:sz w:val="24"/>
        </w:rPr>
        <w:t>. Perspectivas da Economia Brasileira - 1994. Rio de Janeiro: IPEA, 1993.</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rPr>
        <w:t xml:space="preserve">BONELLI, R., LANDAU, E. </w:t>
      </w:r>
      <w:r>
        <w:rPr>
          <w:rFonts w:ascii="Times New Roman" w:hAnsi="Times New Roman"/>
          <w:i/>
          <w:iCs/>
          <w:sz w:val="24"/>
        </w:rPr>
        <w:t>Do Ajuste à Abertura</w:t>
      </w:r>
      <w:r>
        <w:rPr>
          <w:rFonts w:ascii="Times New Roman" w:hAnsi="Times New Roman"/>
          <w:sz w:val="24"/>
        </w:rPr>
        <w:t xml:space="preserve">: a economia brasileira em transição para os Anos 90. </w:t>
      </w:r>
      <w:r>
        <w:rPr>
          <w:rFonts w:ascii="Times New Roman" w:hAnsi="Times New Roman"/>
          <w:sz w:val="24"/>
          <w:lang w:val="en-US"/>
        </w:rPr>
        <w:t>Rio: PUCRJ (texto para discussão, n. 251), 1990.</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BORDO, M., EICHENGREEN, B. </w:t>
      </w:r>
      <w:r>
        <w:rPr>
          <w:rFonts w:ascii="Times New Roman" w:hAnsi="Times New Roman"/>
          <w:i/>
          <w:iCs/>
          <w:sz w:val="24"/>
          <w:lang w:val="en-US"/>
        </w:rPr>
        <w:t>Crises Now and Then</w:t>
      </w:r>
      <w:r>
        <w:rPr>
          <w:rFonts w:ascii="Times New Roman" w:hAnsi="Times New Roman"/>
          <w:sz w:val="24"/>
          <w:lang w:val="en-US"/>
        </w:rPr>
        <w:t xml:space="preserve">: what lessons form the last era of financial globalization? NBER Working Paper 8716. Cambridge, Mass.: National Bureau of Economic Research, 2002.  </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lastRenderedPageBreak/>
        <w:t xml:space="preserve">BORDO, M., EICHENGREEN, B., IRWIN, D. </w:t>
      </w:r>
      <w:r>
        <w:rPr>
          <w:rFonts w:ascii="Times New Roman" w:hAnsi="Times New Roman"/>
          <w:i/>
          <w:iCs/>
          <w:sz w:val="24"/>
          <w:lang w:val="en-US"/>
        </w:rPr>
        <w:t>Is Globalization Today Really Different Than Globalization a Hundred Years Ago</w:t>
      </w:r>
      <w:r>
        <w:rPr>
          <w:rFonts w:ascii="Times New Roman" w:hAnsi="Times New Roman"/>
          <w:sz w:val="24"/>
          <w:lang w:val="en-US"/>
        </w:rPr>
        <w:t xml:space="preserve">? NBER Working Paper 7195. Cambridge, Mass.: National Bureau of Economic Research, 1999.  </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caps/>
          <w:sz w:val="24"/>
          <w:lang w:val="en-US"/>
        </w:rPr>
        <w:t>Bordo, M., James, H</w:t>
      </w:r>
      <w:r>
        <w:rPr>
          <w:rFonts w:ascii="Times New Roman" w:hAnsi="Times New Roman"/>
          <w:sz w:val="24"/>
          <w:lang w:val="en-US"/>
        </w:rPr>
        <w:t xml:space="preserve">. One World Money, Then and Now. NBER Working Paper No. 12.189. Cambridge, MA: National Bureau of Economic Research, 2006. </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BOUGHTON, J.M. </w:t>
      </w:r>
      <w:r>
        <w:rPr>
          <w:rFonts w:ascii="Times New Roman" w:hAnsi="Times New Roman"/>
          <w:i/>
          <w:iCs/>
          <w:sz w:val="24"/>
          <w:lang w:val="en-US"/>
        </w:rPr>
        <w:t>Why White, Not Keynes</w:t>
      </w:r>
      <w:r>
        <w:rPr>
          <w:rFonts w:ascii="Times New Roman" w:hAnsi="Times New Roman"/>
          <w:sz w:val="24"/>
          <w:lang w:val="en-US"/>
        </w:rPr>
        <w:t>? Inventing the Postwar International Monetary System. IMF Working Paper, 02/52. Washington: International Monetary Fund, 2002.</w:t>
      </w:r>
    </w:p>
    <w:p w:rsidR="00B10D19" w:rsidRPr="009F1F35" w:rsidRDefault="00B10D19" w:rsidP="00B10D19">
      <w:pPr>
        <w:spacing w:before="80" w:after="80" w:line="360" w:lineRule="auto"/>
        <w:ind w:left="520" w:hanging="520"/>
        <w:jc w:val="both"/>
      </w:pPr>
      <w:r w:rsidRPr="001B195C">
        <w:rPr>
          <w:lang w:val="en-US"/>
        </w:rPr>
        <w:t xml:space="preserve">BRAKMAN, S. e HEIJDRA, B. </w:t>
      </w:r>
      <w:r w:rsidRPr="001B195C">
        <w:rPr>
          <w:i/>
          <w:lang w:val="en-US"/>
        </w:rPr>
        <w:t>The Monopolistic Competition Revolution in Retrospect</w:t>
      </w:r>
      <w:r w:rsidRPr="001B195C">
        <w:rPr>
          <w:lang w:val="en-US"/>
        </w:rPr>
        <w:t xml:space="preserve">. </w:t>
      </w:r>
      <w:r w:rsidRPr="009F1F35">
        <w:t>Cambridge: Cambridge University Press, 2004.</w:t>
      </w:r>
    </w:p>
    <w:p w:rsidR="00B10D19" w:rsidRDefault="00B10D19" w:rsidP="00B10D19">
      <w:pPr>
        <w:pStyle w:val="Lista"/>
        <w:spacing w:line="360" w:lineRule="auto"/>
        <w:jc w:val="both"/>
        <w:rPr>
          <w:rFonts w:ascii="Times New Roman" w:hAnsi="Times New Roman"/>
          <w:sz w:val="24"/>
          <w:lang w:val="en-US"/>
        </w:rPr>
      </w:pPr>
      <w:r w:rsidRPr="009178C9">
        <w:rPr>
          <w:rFonts w:ascii="Times New Roman" w:hAnsi="Times New Roman"/>
          <w:sz w:val="24"/>
        </w:rPr>
        <w:t xml:space="preserve">BRESSER-PEREIRA, L.C. </w:t>
      </w:r>
      <w:r w:rsidRPr="009178C9">
        <w:rPr>
          <w:rFonts w:ascii="Times New Roman" w:hAnsi="Times New Roman"/>
          <w:i/>
          <w:sz w:val="24"/>
        </w:rPr>
        <w:t>Macroeconomia da Estagnação</w:t>
      </w:r>
      <w:r w:rsidRPr="009178C9">
        <w:rPr>
          <w:rFonts w:ascii="Times New Roman" w:hAnsi="Times New Roman"/>
          <w:sz w:val="24"/>
        </w:rPr>
        <w:t xml:space="preserve">. </w:t>
      </w:r>
      <w:r>
        <w:rPr>
          <w:rFonts w:ascii="Times New Roman" w:hAnsi="Times New Roman"/>
          <w:sz w:val="24"/>
          <w:lang w:val="en-US"/>
        </w:rPr>
        <w:t>São Paulo: Editora 34, 2007.</w:t>
      </w:r>
    </w:p>
    <w:p w:rsidR="00B10D19" w:rsidRDefault="00B10D19" w:rsidP="00B10D19">
      <w:pPr>
        <w:spacing w:before="80" w:after="80" w:line="360" w:lineRule="auto"/>
        <w:ind w:left="520" w:hanging="520"/>
        <w:jc w:val="both"/>
      </w:pPr>
      <w:r>
        <w:rPr>
          <w:lang w:val="en-US"/>
        </w:rPr>
        <w:t xml:space="preserve">BUCKEY, P. J., CASSON, M. </w:t>
      </w:r>
      <w:r>
        <w:rPr>
          <w:i/>
          <w:lang w:val="en-US"/>
        </w:rPr>
        <w:t>The Future of the Multinational Enterprise</w:t>
      </w:r>
      <w:r>
        <w:rPr>
          <w:lang w:val="en-US"/>
        </w:rPr>
        <w:t xml:space="preserve">. </w:t>
      </w:r>
      <w:r>
        <w:t xml:space="preserve">London: MacMillan, 1976. </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CALDEIRA, J. </w:t>
      </w:r>
      <w:r>
        <w:rPr>
          <w:rFonts w:ascii="Times New Roman" w:hAnsi="Times New Roman"/>
          <w:i/>
          <w:iCs/>
          <w:sz w:val="24"/>
        </w:rPr>
        <w:t>Viagem pela História do Brasil</w:t>
      </w:r>
      <w:r>
        <w:rPr>
          <w:rFonts w:ascii="Times New Roman" w:hAnsi="Times New Roman"/>
          <w:sz w:val="24"/>
        </w:rPr>
        <w:t>. São Paulo: Cia das Letras, 1997.</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CANO, W. </w:t>
      </w:r>
      <w:r>
        <w:rPr>
          <w:rFonts w:ascii="Times New Roman" w:hAnsi="Times New Roman"/>
          <w:i/>
          <w:iCs/>
          <w:sz w:val="24"/>
        </w:rPr>
        <w:t>Raízes da Concentração Industrial em São Paulo</w:t>
      </w:r>
      <w:r>
        <w:rPr>
          <w:rFonts w:ascii="Times New Roman" w:hAnsi="Times New Roman"/>
          <w:sz w:val="24"/>
        </w:rPr>
        <w:t>. São Paulo, T.A. Queiroz, 1983.</w:t>
      </w:r>
    </w:p>
    <w:p w:rsidR="00B10D19" w:rsidRPr="00721E80" w:rsidRDefault="00B10D19" w:rsidP="00B10D19">
      <w:pPr>
        <w:pStyle w:val="Lista"/>
        <w:spacing w:line="360" w:lineRule="auto"/>
        <w:jc w:val="both"/>
        <w:rPr>
          <w:rFonts w:ascii="Times New Roman" w:hAnsi="Times New Roman"/>
          <w:sz w:val="24"/>
        </w:rPr>
      </w:pPr>
      <w:r w:rsidRPr="00721E80">
        <w:rPr>
          <w:rFonts w:ascii="Times New Roman" w:hAnsi="Times New Roman"/>
          <w:sz w:val="24"/>
        </w:rPr>
        <w:t xml:space="preserve">CANUTO, O. </w:t>
      </w:r>
      <w:r w:rsidRPr="00721E80">
        <w:rPr>
          <w:rFonts w:ascii="Times New Roman" w:hAnsi="Times New Roman"/>
          <w:i/>
          <w:iCs/>
          <w:sz w:val="24"/>
        </w:rPr>
        <w:t>Coréia do Sul versus Brasil</w:t>
      </w:r>
      <w:r w:rsidRPr="00721E80">
        <w:rPr>
          <w:rFonts w:ascii="Times New Roman" w:hAnsi="Times New Roman"/>
          <w:sz w:val="24"/>
        </w:rPr>
        <w:t>: industrializações tardias e periféricas. São Paulo: Nobel, 1995.</w:t>
      </w:r>
    </w:p>
    <w:p w:rsidR="00B10D19" w:rsidRDefault="00B10D19" w:rsidP="00B10D19">
      <w:pPr>
        <w:pStyle w:val="Lista"/>
        <w:spacing w:line="360" w:lineRule="auto"/>
        <w:jc w:val="both"/>
        <w:rPr>
          <w:rFonts w:ascii="Times New Roman" w:hAnsi="Times New Roman"/>
          <w:sz w:val="24"/>
        </w:rPr>
      </w:pPr>
      <w:r w:rsidRPr="00721E80">
        <w:rPr>
          <w:rFonts w:ascii="Times New Roman" w:hAnsi="Times New Roman"/>
          <w:sz w:val="24"/>
        </w:rPr>
        <w:t xml:space="preserve">CARNEIRO, R. </w:t>
      </w:r>
      <w:r w:rsidRPr="00721E80">
        <w:rPr>
          <w:rFonts w:ascii="Times New Roman" w:hAnsi="Times New Roman"/>
          <w:i/>
          <w:iCs/>
          <w:sz w:val="24"/>
        </w:rPr>
        <w:t>Desenvolvimento em Crise</w:t>
      </w:r>
      <w:r w:rsidRPr="00721E80">
        <w:rPr>
          <w:rFonts w:ascii="Times New Roman" w:hAnsi="Times New Roman"/>
          <w:sz w:val="24"/>
        </w:rPr>
        <w:t>: a economia brasileira no último quarto do século XX. São Paulo: Unesp, 2002,</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CASTRO, A. B., SOUZA, F. E. P. </w:t>
      </w:r>
      <w:r>
        <w:rPr>
          <w:rFonts w:ascii="Times New Roman" w:hAnsi="Times New Roman"/>
          <w:i/>
          <w:iCs/>
          <w:sz w:val="24"/>
        </w:rPr>
        <w:t>A Economia Brasileira em Marcha Forçada</w:t>
      </w:r>
      <w:r>
        <w:rPr>
          <w:rFonts w:ascii="Times New Roman" w:hAnsi="Times New Roman"/>
          <w:sz w:val="24"/>
        </w:rPr>
        <w:t>. São Paulo: Paz e Terra, 1985.</w:t>
      </w:r>
    </w:p>
    <w:p w:rsidR="00B10D19" w:rsidRPr="009F1F35" w:rsidRDefault="00B10D19" w:rsidP="00B10D19">
      <w:pPr>
        <w:pStyle w:val="Lista"/>
        <w:spacing w:line="360" w:lineRule="auto"/>
        <w:jc w:val="both"/>
        <w:rPr>
          <w:rFonts w:ascii="Times New Roman" w:hAnsi="Times New Roman"/>
          <w:sz w:val="24"/>
        </w:rPr>
      </w:pPr>
      <w:r>
        <w:rPr>
          <w:rFonts w:ascii="Times New Roman" w:hAnsi="Times New Roman"/>
          <w:sz w:val="24"/>
        </w:rPr>
        <w:t xml:space="preserve">CASTRO, A.B. </w:t>
      </w:r>
      <w:r>
        <w:rPr>
          <w:rFonts w:ascii="Times New Roman" w:hAnsi="Times New Roman"/>
          <w:i/>
          <w:iCs/>
          <w:sz w:val="24"/>
        </w:rPr>
        <w:t>Escravos e Senhores nos Engenhos do Brasil</w:t>
      </w:r>
      <w:r>
        <w:rPr>
          <w:rFonts w:ascii="Times New Roman" w:hAnsi="Times New Roman"/>
          <w:sz w:val="24"/>
        </w:rPr>
        <w:t xml:space="preserve">: um estudo sobre os trabalhos do açúcar e a política dos senhores. </w:t>
      </w:r>
      <w:r w:rsidRPr="009F1F35">
        <w:rPr>
          <w:rFonts w:ascii="Times New Roman" w:hAnsi="Times New Roman"/>
          <w:sz w:val="24"/>
        </w:rPr>
        <w:t>Campinas: Unicamp (tese de doutorado), 1976.</w:t>
      </w:r>
    </w:p>
    <w:p w:rsidR="00B10D19" w:rsidRDefault="00B10D19" w:rsidP="00B10D19">
      <w:pPr>
        <w:spacing w:before="80" w:after="80" w:line="360" w:lineRule="auto"/>
        <w:ind w:left="520" w:hanging="520"/>
        <w:jc w:val="both"/>
        <w:rPr>
          <w:lang w:val="es-ES_tradnl"/>
        </w:rPr>
      </w:pPr>
      <w:r>
        <w:rPr>
          <w:lang w:val="es-ES_tradnl"/>
        </w:rPr>
        <w:t xml:space="preserve">CEPAL. </w:t>
      </w:r>
      <w:r>
        <w:rPr>
          <w:i/>
          <w:lang w:val="es-ES_tradnl"/>
        </w:rPr>
        <w:t>Panorama de la Inserción Internacional de America Latina y Caribe</w:t>
      </w:r>
      <w:r>
        <w:rPr>
          <w:lang w:val="es-ES_tradnl"/>
        </w:rPr>
        <w:t>. Santigo, Chile: Comissión para America Latina y Caribe, 2002.</w:t>
      </w:r>
    </w:p>
    <w:p w:rsidR="00B10D19" w:rsidRPr="001B195C" w:rsidRDefault="00B10D19" w:rsidP="00B10D19">
      <w:pPr>
        <w:spacing w:before="80" w:after="80" w:line="360" w:lineRule="auto"/>
        <w:ind w:left="520" w:hanging="520"/>
        <w:jc w:val="both"/>
        <w:rPr>
          <w:lang w:val="en-US"/>
        </w:rPr>
      </w:pPr>
      <w:r w:rsidRPr="001B195C">
        <w:rPr>
          <w:lang w:val="en-US"/>
        </w:rPr>
        <w:t>CHAMBERLIN, E. A Theory of Monopolistic Competition. Cambridge, Mass</w:t>
      </w:r>
      <w:r>
        <w:rPr>
          <w:lang w:val="en-US"/>
        </w:rPr>
        <w:t>, 1933</w:t>
      </w:r>
      <w:r w:rsidRPr="001B195C">
        <w:rPr>
          <w:lang w:val="en-US"/>
        </w:rPr>
        <w:t>.</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CHANG, H. </w:t>
      </w:r>
      <w:r>
        <w:rPr>
          <w:rFonts w:ascii="Times New Roman" w:hAnsi="Times New Roman"/>
          <w:i/>
          <w:iCs/>
          <w:sz w:val="24"/>
          <w:lang w:val="en-US"/>
        </w:rPr>
        <w:t>Kicking Away the Ladder</w:t>
      </w:r>
      <w:r>
        <w:rPr>
          <w:rFonts w:ascii="Times New Roman" w:hAnsi="Times New Roman"/>
          <w:sz w:val="24"/>
          <w:lang w:val="en-US"/>
        </w:rPr>
        <w:t xml:space="preserve">: </w:t>
      </w:r>
      <w:r>
        <w:rPr>
          <w:rFonts w:ascii="Times New Roman" w:hAnsi="Times New Roman"/>
          <w:bCs/>
          <w:sz w:val="24"/>
          <w:lang w:val="en-US"/>
        </w:rPr>
        <w:t>development strategy in historical perspective</w:t>
      </w:r>
      <w:r>
        <w:rPr>
          <w:rFonts w:ascii="Times New Roman" w:hAnsi="Times New Roman"/>
          <w:sz w:val="24"/>
          <w:lang w:val="en-US"/>
        </w:rPr>
        <w:t xml:space="preserve"> London:  Anthem Press, 2002.</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lastRenderedPageBreak/>
        <w:t xml:space="preserve">CNI-CEPAL. </w:t>
      </w:r>
      <w:r>
        <w:rPr>
          <w:rFonts w:ascii="Times New Roman" w:hAnsi="Times New Roman"/>
          <w:i/>
          <w:iCs/>
          <w:sz w:val="24"/>
        </w:rPr>
        <w:t xml:space="preserve">Investimentos na Indústria Brasileira, </w:t>
      </w:r>
      <w:r>
        <w:rPr>
          <w:rFonts w:ascii="Times New Roman" w:hAnsi="Times New Roman"/>
          <w:sz w:val="24"/>
        </w:rPr>
        <w:t>1995/1999. Rio de Janeiro: Confederação Nacional da Indústria, 1997.</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COUTINHO, L. FERRAZ, J. C. (orgs.). </w:t>
      </w:r>
      <w:r>
        <w:rPr>
          <w:rFonts w:ascii="Times New Roman" w:hAnsi="Times New Roman"/>
          <w:i/>
          <w:iCs/>
          <w:sz w:val="24"/>
        </w:rPr>
        <w:t>Estudo da Competitividade da Indústria Brasileira</w:t>
      </w:r>
      <w:r>
        <w:rPr>
          <w:rFonts w:ascii="Times New Roman" w:hAnsi="Times New Roman"/>
          <w:sz w:val="24"/>
        </w:rPr>
        <w:t>. Campinas: Papirus/Ed. UNICAMP, 1994.</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CUNHA, E. </w:t>
      </w:r>
      <w:r>
        <w:rPr>
          <w:rFonts w:ascii="Times New Roman" w:hAnsi="Times New Roman"/>
          <w:i/>
          <w:iCs/>
          <w:sz w:val="24"/>
        </w:rPr>
        <w:t>Euclides da Cunha</w:t>
      </w:r>
      <w:r>
        <w:rPr>
          <w:rFonts w:ascii="Times New Roman" w:hAnsi="Times New Roman"/>
          <w:sz w:val="24"/>
        </w:rPr>
        <w:t xml:space="preserve"> – Coletânea de Textos (org. Walnice Nogueira Galvão). São Paulo: Ática, 1984.</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DAVIDSON, P. </w:t>
      </w:r>
      <w:r>
        <w:rPr>
          <w:rFonts w:ascii="Times New Roman" w:hAnsi="Times New Roman"/>
          <w:i/>
          <w:iCs/>
          <w:sz w:val="24"/>
          <w:lang w:val="en-US"/>
        </w:rPr>
        <w:t>The Future of International Financial System</w:t>
      </w:r>
      <w:r>
        <w:rPr>
          <w:rFonts w:ascii="Times New Roman" w:hAnsi="Times New Roman"/>
          <w:sz w:val="24"/>
          <w:lang w:val="en-US"/>
        </w:rPr>
        <w:t xml:space="preserve">. Conference on the Future of Economics, Cambridge University, September, 18, 2003. </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rPr>
        <w:t xml:space="preserve">DEAN, W. </w:t>
      </w:r>
      <w:r>
        <w:rPr>
          <w:rFonts w:ascii="Times New Roman" w:hAnsi="Times New Roman"/>
          <w:i/>
          <w:iCs/>
          <w:sz w:val="24"/>
        </w:rPr>
        <w:t>A Industrialização de São Paulo</w:t>
      </w:r>
      <w:r>
        <w:rPr>
          <w:rFonts w:ascii="Times New Roman" w:hAnsi="Times New Roman"/>
          <w:sz w:val="24"/>
        </w:rPr>
        <w:t xml:space="preserve">. </w:t>
      </w:r>
      <w:r>
        <w:rPr>
          <w:rFonts w:ascii="Times New Roman" w:hAnsi="Times New Roman"/>
          <w:sz w:val="24"/>
          <w:lang w:val="en-US"/>
        </w:rPr>
        <w:t>São Paulo: Difel, 1971.</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DOOLEY, M. P., FOLKERTS-LANDAU, D., GARBER, P. </w:t>
      </w:r>
      <w:r>
        <w:rPr>
          <w:rFonts w:ascii="Times New Roman" w:hAnsi="Times New Roman"/>
          <w:i/>
          <w:iCs/>
          <w:sz w:val="24"/>
          <w:lang w:val="en-US"/>
        </w:rPr>
        <w:t>An Essay on the Revived Bretton Woods System</w:t>
      </w:r>
      <w:r>
        <w:rPr>
          <w:rFonts w:ascii="Times New Roman" w:hAnsi="Times New Roman"/>
          <w:sz w:val="24"/>
          <w:lang w:val="en-US"/>
        </w:rPr>
        <w:t>. Cambridge, Mass.: National Bureau of Economic Research (NBER Working Paper n. 9971), 2003.</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DRAIBE, S. </w:t>
      </w:r>
      <w:r>
        <w:rPr>
          <w:rFonts w:ascii="Times New Roman" w:hAnsi="Times New Roman"/>
          <w:i/>
          <w:iCs/>
          <w:sz w:val="24"/>
        </w:rPr>
        <w:t>Rumos e Metamorfoses</w:t>
      </w:r>
      <w:r>
        <w:rPr>
          <w:rFonts w:ascii="Times New Roman" w:hAnsi="Times New Roman"/>
          <w:sz w:val="24"/>
        </w:rPr>
        <w:t>: Estado e industrialização no Brasil. Rio de Janeiro: Paz e Terra, 1985.</w:t>
      </w:r>
    </w:p>
    <w:p w:rsidR="00B10D19" w:rsidRDefault="00B10D19" w:rsidP="00B10D19">
      <w:pPr>
        <w:spacing w:before="80" w:after="80" w:line="360" w:lineRule="auto"/>
        <w:ind w:left="520" w:hanging="520"/>
        <w:jc w:val="both"/>
        <w:rPr>
          <w:lang w:val="en-US"/>
        </w:rPr>
      </w:pPr>
      <w:r w:rsidRPr="009F1F35">
        <w:t xml:space="preserve">DUNNING, J. H. </w:t>
      </w:r>
      <w:r w:rsidRPr="009F1F35">
        <w:rPr>
          <w:i/>
        </w:rPr>
        <w:t>Multinational Enterprises and the Global Economy</w:t>
      </w:r>
      <w:r w:rsidRPr="009F1F35">
        <w:t xml:space="preserve">. </w:t>
      </w:r>
      <w:r>
        <w:rPr>
          <w:lang w:val="en-US"/>
        </w:rPr>
        <w:t xml:space="preserve">Reading, Mass.: Addison-Wesley, 1993. </w:t>
      </w:r>
    </w:p>
    <w:p w:rsidR="00B10D19" w:rsidRDefault="00B10D19" w:rsidP="00B10D19">
      <w:pPr>
        <w:spacing w:before="80" w:after="80" w:line="360" w:lineRule="auto"/>
        <w:ind w:left="520" w:hanging="520"/>
        <w:jc w:val="both"/>
        <w:rPr>
          <w:lang w:val="en-US"/>
        </w:rPr>
      </w:pPr>
      <w:r>
        <w:rPr>
          <w:lang w:val="en-US"/>
        </w:rPr>
        <w:t xml:space="preserve">DUNNING, J. H. The eclectic paradigm of international production: past, present and future. </w:t>
      </w:r>
      <w:r>
        <w:rPr>
          <w:i/>
          <w:lang w:val="en-US"/>
        </w:rPr>
        <w:t>International Journal of the Economics of Business</w:t>
      </w:r>
      <w:r>
        <w:rPr>
          <w:lang w:val="en-US"/>
        </w:rPr>
        <w:t>, v.8, n.2, p.173-190, 2001.</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EATWELL, J., TAYLOR, L. </w:t>
      </w:r>
      <w:r>
        <w:rPr>
          <w:rFonts w:ascii="Times New Roman" w:hAnsi="Times New Roman"/>
          <w:i/>
          <w:iCs/>
          <w:sz w:val="24"/>
          <w:lang w:val="en-US"/>
        </w:rPr>
        <w:t>Global Finance at Risk</w:t>
      </w:r>
      <w:r>
        <w:rPr>
          <w:rFonts w:ascii="Times New Roman" w:hAnsi="Times New Roman"/>
          <w:sz w:val="24"/>
          <w:lang w:val="en-US"/>
        </w:rPr>
        <w:t xml:space="preserve">. New York: The New Press, 2000. </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EDISON, H., KLEIN, M., RICCI, L., SLOK, T. </w:t>
      </w:r>
      <w:r>
        <w:rPr>
          <w:rFonts w:ascii="Times New Roman" w:hAnsi="Times New Roman"/>
          <w:i/>
          <w:iCs/>
          <w:sz w:val="24"/>
          <w:lang w:val="en-US"/>
        </w:rPr>
        <w:t>Capital Account Liberalization and Economic Performance</w:t>
      </w:r>
      <w:r>
        <w:rPr>
          <w:rFonts w:ascii="Times New Roman" w:hAnsi="Times New Roman"/>
          <w:sz w:val="24"/>
          <w:lang w:val="en-US"/>
        </w:rPr>
        <w:t>: a review of the literature. IMF Working Paper 02/120.  Washington, DC: International Monetary Fund, 2002.</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lang w:val="en-US"/>
        </w:rPr>
        <w:t xml:space="preserve">EICHENGREEN, B. </w:t>
      </w:r>
      <w:r>
        <w:rPr>
          <w:rFonts w:ascii="Times New Roman" w:hAnsi="Times New Roman"/>
          <w:i/>
          <w:iCs/>
          <w:sz w:val="24"/>
          <w:lang w:val="en-US"/>
        </w:rPr>
        <w:t>Globalizing Capital</w:t>
      </w:r>
      <w:r>
        <w:rPr>
          <w:rFonts w:ascii="Times New Roman" w:hAnsi="Times New Roman"/>
          <w:sz w:val="24"/>
          <w:lang w:val="en-US"/>
        </w:rPr>
        <w:t xml:space="preserve">: a history of the international monetary system. </w:t>
      </w:r>
      <w:r>
        <w:rPr>
          <w:rFonts w:ascii="Times New Roman" w:hAnsi="Times New Roman"/>
          <w:sz w:val="24"/>
        </w:rPr>
        <w:t>Princeton: Princeton University Press (edição brasileira da Editora 34, São Paulo, 2000), 1996.</w:t>
      </w:r>
    </w:p>
    <w:p w:rsidR="00B10D19" w:rsidRPr="00BD3A63" w:rsidRDefault="00B10D19" w:rsidP="00B10D19">
      <w:pPr>
        <w:spacing w:before="80" w:after="80" w:line="360" w:lineRule="auto"/>
        <w:ind w:left="520" w:hanging="520"/>
        <w:jc w:val="both"/>
        <w:rPr>
          <w:lang w:val="es-ES_tradnl"/>
        </w:rPr>
      </w:pPr>
      <w:r w:rsidRPr="00BD3A63">
        <w:rPr>
          <w:lang w:val="es-ES_tradnl"/>
        </w:rPr>
        <w:t xml:space="preserve">ELSTER, J. </w:t>
      </w:r>
      <w:r w:rsidRPr="00BD3A63">
        <w:rPr>
          <w:i/>
          <w:lang w:val="es-ES_tradnl"/>
        </w:rPr>
        <w:t>El Cemento de la Sociedad</w:t>
      </w:r>
      <w:r w:rsidRPr="00BD3A63">
        <w:rPr>
          <w:lang w:val="es-ES_tradnl"/>
        </w:rPr>
        <w:t>: las paradojas del orden social. Gedisa Editorial: Barcelona, 1991.</w:t>
      </w:r>
    </w:p>
    <w:p w:rsidR="00B10D19" w:rsidRPr="008B5541" w:rsidRDefault="00B10D19" w:rsidP="00B10D19">
      <w:pPr>
        <w:spacing w:before="80" w:after="80" w:line="360" w:lineRule="auto"/>
        <w:ind w:left="520" w:hanging="520"/>
        <w:jc w:val="both"/>
        <w:rPr>
          <w:lang w:val="es-ES_tradnl"/>
        </w:rPr>
      </w:pPr>
      <w:r w:rsidRPr="008B5541">
        <w:t xml:space="preserve">EMMANUAL, A. </w:t>
      </w:r>
      <w:r w:rsidRPr="008B5541">
        <w:rPr>
          <w:i/>
        </w:rPr>
        <w:t>A Troca Desigual</w:t>
      </w:r>
      <w:r w:rsidRPr="008B5541">
        <w:t xml:space="preserve">. </w:t>
      </w:r>
      <w:r w:rsidRPr="008B5541">
        <w:rPr>
          <w:lang w:val="es-ES_tradnl"/>
        </w:rPr>
        <w:t>Lisboa, Editorial Estampa, 1973.</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EXAME . Melhores e Maiores. São Paulo: Editora Abril, diversos números. </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FAORO, R. </w:t>
      </w:r>
      <w:r>
        <w:rPr>
          <w:rFonts w:ascii="Times New Roman" w:hAnsi="Times New Roman"/>
          <w:i/>
          <w:iCs/>
          <w:sz w:val="24"/>
        </w:rPr>
        <w:t>Machado de Assis</w:t>
      </w:r>
      <w:r>
        <w:rPr>
          <w:rFonts w:ascii="Times New Roman" w:hAnsi="Times New Roman"/>
          <w:sz w:val="24"/>
        </w:rPr>
        <w:t>: a pirâmide e o trapézio. São Paulo: Cia Editora Nacional, 1974.</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lastRenderedPageBreak/>
        <w:t xml:space="preserve">FAORO, R. </w:t>
      </w:r>
      <w:r>
        <w:rPr>
          <w:rFonts w:ascii="Times New Roman" w:hAnsi="Times New Roman"/>
          <w:i/>
          <w:iCs/>
          <w:sz w:val="24"/>
        </w:rPr>
        <w:t>Os Donos do Poder</w:t>
      </w:r>
      <w:r>
        <w:rPr>
          <w:rFonts w:ascii="Times New Roman" w:hAnsi="Times New Roman"/>
          <w:sz w:val="24"/>
        </w:rPr>
        <w:t>: formação do patronato brasileiro. Porto Alegre/São Paulo: Globo/EDUSP, 1975.</w:t>
      </w:r>
    </w:p>
    <w:p w:rsidR="00B10D19" w:rsidRPr="009F1F35" w:rsidRDefault="00B10D19" w:rsidP="00B10D19">
      <w:pPr>
        <w:spacing w:before="80" w:after="80" w:line="360" w:lineRule="auto"/>
        <w:ind w:left="520" w:hanging="520"/>
        <w:jc w:val="both"/>
        <w:rPr>
          <w:lang w:val="en-US"/>
        </w:rPr>
      </w:pPr>
      <w:r>
        <w:rPr>
          <w:lang w:val="es-ES_tradnl"/>
        </w:rPr>
        <w:t xml:space="preserve">FEIJÓ, C. A. </w:t>
      </w:r>
      <w:r w:rsidRPr="008B5541">
        <w:rPr>
          <w:i/>
          <w:lang w:val="es-ES_tradnl"/>
        </w:rPr>
        <w:t>et al</w:t>
      </w:r>
      <w:r>
        <w:rPr>
          <w:lang w:val="es-ES_tradnl"/>
        </w:rPr>
        <w:t xml:space="preserve">. </w:t>
      </w:r>
      <w:r w:rsidRPr="008B5541">
        <w:rPr>
          <w:i/>
        </w:rPr>
        <w:t>Contabilidade Social</w:t>
      </w:r>
      <w:r w:rsidRPr="008B5541">
        <w:t xml:space="preserve">: o novo sistema de contas nacionais do Brasil. </w:t>
      </w:r>
      <w:r w:rsidRPr="009F1F35">
        <w:rPr>
          <w:lang w:val="en-US"/>
        </w:rPr>
        <w:t>Rio de Janeiro: Campus, 2001.</w:t>
      </w:r>
    </w:p>
    <w:p w:rsidR="00B10D19" w:rsidRPr="009F1F35"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FELDSTEIN, M., HORIOKA, C. Domestic Saving and International Capital Flows. </w:t>
      </w:r>
      <w:r w:rsidRPr="009F1F35">
        <w:rPr>
          <w:rFonts w:ascii="Times New Roman" w:hAnsi="Times New Roman"/>
          <w:i/>
          <w:sz w:val="24"/>
          <w:lang w:val="en-US"/>
        </w:rPr>
        <w:t>The Economic Journal</w:t>
      </w:r>
      <w:r w:rsidRPr="009F1F35">
        <w:rPr>
          <w:rFonts w:ascii="Times New Roman" w:hAnsi="Times New Roman"/>
          <w:sz w:val="24"/>
          <w:lang w:val="en-US"/>
        </w:rPr>
        <w:t>, vol. 90, pp. 314-329, 1980.</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FERNADES, F. </w:t>
      </w:r>
      <w:r>
        <w:rPr>
          <w:rFonts w:ascii="Times New Roman" w:hAnsi="Times New Roman"/>
          <w:i/>
          <w:iCs/>
          <w:sz w:val="24"/>
        </w:rPr>
        <w:t>A Revolução Burguesa no Brasil</w:t>
      </w:r>
      <w:r>
        <w:rPr>
          <w:rFonts w:ascii="Times New Roman" w:hAnsi="Times New Roman"/>
          <w:sz w:val="24"/>
        </w:rPr>
        <w:t xml:space="preserve">: ensaio de interpretação sociológica.  Rio de Janeiro: Zahar, 1981. </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FERNANDES, F. </w:t>
      </w:r>
      <w:r>
        <w:rPr>
          <w:rFonts w:ascii="Times New Roman" w:hAnsi="Times New Roman"/>
          <w:i/>
          <w:iCs/>
          <w:sz w:val="24"/>
        </w:rPr>
        <w:t>Circuito Fechado</w:t>
      </w:r>
      <w:r>
        <w:rPr>
          <w:rFonts w:ascii="Times New Roman" w:hAnsi="Times New Roman"/>
          <w:sz w:val="24"/>
        </w:rPr>
        <w:t>. São Paulo: HUCITEC, 1977.</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FIORI, J. L. </w:t>
      </w:r>
      <w:r>
        <w:rPr>
          <w:rFonts w:ascii="Times New Roman" w:hAnsi="Times New Roman"/>
          <w:i/>
          <w:iCs/>
          <w:sz w:val="24"/>
        </w:rPr>
        <w:t>Para uma Economia Política do Estado Brasileiro</w:t>
      </w:r>
      <w:r>
        <w:rPr>
          <w:rFonts w:ascii="Times New Roman" w:hAnsi="Times New Roman"/>
          <w:sz w:val="24"/>
        </w:rPr>
        <w:t>. Rio de Janeiro: IEI/ UFRJ. (texto para discussão), 1993.</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FISHLOW, A. Origens e Conseqüências da Substituição de Importações no Brasil. </w:t>
      </w:r>
      <w:r>
        <w:rPr>
          <w:rFonts w:ascii="Times New Roman" w:hAnsi="Times New Roman"/>
          <w:i/>
          <w:iCs/>
          <w:sz w:val="24"/>
        </w:rPr>
        <w:t>Estudos Econômicos</w:t>
      </w:r>
      <w:r>
        <w:rPr>
          <w:rFonts w:ascii="Times New Roman" w:hAnsi="Times New Roman"/>
          <w:sz w:val="24"/>
        </w:rPr>
        <w:t>, v.2, n.6, dezembro, p.7 – 75, 1972.</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FREYRE, G. Casa-Grande &amp; Senzala. Rio de Janeiro: Maia &amp; Schmidt, 1933.</w:t>
      </w:r>
    </w:p>
    <w:p w:rsidR="00B10D19" w:rsidRPr="009F1F35" w:rsidRDefault="00B10D19" w:rsidP="00B10D19">
      <w:pPr>
        <w:spacing w:before="80" w:after="80" w:line="360" w:lineRule="auto"/>
        <w:ind w:left="520" w:hanging="520"/>
        <w:jc w:val="both"/>
        <w:rPr>
          <w:lang w:val="en-US"/>
        </w:rPr>
      </w:pPr>
      <w:r w:rsidRPr="001B195C">
        <w:rPr>
          <w:lang w:val="en-US"/>
        </w:rPr>
        <w:t xml:space="preserve">FRIEDMAN, M. The </w:t>
      </w:r>
      <w:r>
        <w:rPr>
          <w:lang w:val="en-US"/>
        </w:rPr>
        <w:t>M</w:t>
      </w:r>
      <w:r w:rsidRPr="001B195C">
        <w:rPr>
          <w:lang w:val="en-US"/>
        </w:rPr>
        <w:t xml:space="preserve">ethodology of </w:t>
      </w:r>
      <w:r>
        <w:rPr>
          <w:lang w:val="en-US"/>
        </w:rPr>
        <w:t>P</w:t>
      </w:r>
      <w:r w:rsidRPr="001B195C">
        <w:rPr>
          <w:lang w:val="en-US"/>
        </w:rPr>
        <w:t xml:space="preserve">ositive </w:t>
      </w:r>
      <w:r>
        <w:rPr>
          <w:lang w:val="en-US"/>
        </w:rPr>
        <w:t>E</w:t>
      </w:r>
      <w:r w:rsidRPr="001B195C">
        <w:rPr>
          <w:lang w:val="en-US"/>
        </w:rPr>
        <w:t>conomics</w:t>
      </w:r>
      <w:r>
        <w:rPr>
          <w:lang w:val="en-US"/>
        </w:rPr>
        <w:t>.</w:t>
      </w:r>
      <w:r w:rsidRPr="001B195C">
        <w:rPr>
          <w:lang w:val="en-US"/>
        </w:rPr>
        <w:t xml:space="preserve"> In: </w:t>
      </w:r>
      <w:r w:rsidRPr="001B195C">
        <w:rPr>
          <w:i/>
          <w:lang w:val="en-US"/>
        </w:rPr>
        <w:t>Essays in Positive Economics</w:t>
      </w:r>
      <w:r w:rsidRPr="001B195C">
        <w:rPr>
          <w:lang w:val="en-US"/>
        </w:rPr>
        <w:t xml:space="preserve">. </w:t>
      </w:r>
      <w:r w:rsidRPr="009F1F35">
        <w:rPr>
          <w:lang w:val="en-US"/>
        </w:rPr>
        <w:t>Chicago: University of Chicago Press, 1953.</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FURMAN, J., STIGLITZ, J. E. </w:t>
      </w:r>
      <w:r>
        <w:rPr>
          <w:rFonts w:ascii="Times New Roman" w:hAnsi="Times New Roman"/>
          <w:i/>
          <w:iCs/>
          <w:sz w:val="24"/>
          <w:lang w:val="en-US"/>
        </w:rPr>
        <w:t>Economic Crises</w:t>
      </w:r>
      <w:r>
        <w:rPr>
          <w:rFonts w:ascii="Times New Roman" w:hAnsi="Times New Roman"/>
          <w:sz w:val="24"/>
          <w:lang w:val="en-US"/>
        </w:rPr>
        <w:t>: Evidence and Insights from East Asia. Brookings Papers on Economic Activity, n.2, p. 1-135. Washington: Brookings Institution, 1998.</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FURTADO, C. </w:t>
      </w:r>
      <w:r>
        <w:rPr>
          <w:rFonts w:ascii="Times New Roman" w:hAnsi="Times New Roman"/>
          <w:i/>
          <w:iCs/>
          <w:sz w:val="24"/>
        </w:rPr>
        <w:t>Formação Econômica do Brasil</w:t>
      </w:r>
      <w:r>
        <w:rPr>
          <w:rFonts w:ascii="Times New Roman" w:hAnsi="Times New Roman"/>
          <w:sz w:val="24"/>
        </w:rPr>
        <w:t>.  São Paulo: Cia Ed. Nacional, 1984 (publicado originalmente em 1959).</w:t>
      </w:r>
    </w:p>
    <w:p w:rsidR="00B10D19" w:rsidRPr="00BD3A63" w:rsidRDefault="00B10D19" w:rsidP="00B10D19">
      <w:pPr>
        <w:spacing w:before="80" w:after="80" w:line="360" w:lineRule="auto"/>
        <w:ind w:left="520" w:hanging="520"/>
        <w:jc w:val="both"/>
        <w:rPr>
          <w:lang w:val="en-US"/>
        </w:rPr>
      </w:pPr>
      <w:r w:rsidRPr="00BD3A63">
        <w:rPr>
          <w:lang w:val="en-US"/>
        </w:rPr>
        <w:t xml:space="preserve">GAMBETTA, D. </w:t>
      </w:r>
      <w:r w:rsidRPr="00BD3A63">
        <w:rPr>
          <w:i/>
          <w:lang w:val="en-US"/>
        </w:rPr>
        <w:t>Trust</w:t>
      </w:r>
      <w:r w:rsidRPr="00BD3A63">
        <w:rPr>
          <w:lang w:val="en-US"/>
        </w:rPr>
        <w:t>: making and breaking cooperative relations. Oxford: Blackwell</w:t>
      </w:r>
      <w:r>
        <w:rPr>
          <w:lang w:val="en-US"/>
        </w:rPr>
        <w:t>, 1988.</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lang w:val="en-US"/>
        </w:rPr>
        <w:t xml:space="preserve">GERSCHENKRON, A. </w:t>
      </w:r>
      <w:r>
        <w:rPr>
          <w:rFonts w:ascii="Times New Roman" w:hAnsi="Times New Roman"/>
          <w:bCs/>
          <w:i/>
          <w:iCs/>
          <w:sz w:val="24"/>
          <w:lang w:val="en-US"/>
        </w:rPr>
        <w:t>Economic Backwardness in Historical Perspective</w:t>
      </w:r>
      <w:r>
        <w:rPr>
          <w:rFonts w:ascii="Times New Roman" w:hAnsi="Times New Roman"/>
          <w:bCs/>
          <w:sz w:val="24"/>
          <w:lang w:val="en-US"/>
        </w:rPr>
        <w:t>.</w:t>
      </w:r>
      <w:r>
        <w:rPr>
          <w:rFonts w:ascii="Times New Roman" w:hAnsi="Times New Roman"/>
          <w:sz w:val="24"/>
          <w:lang w:val="en-US"/>
        </w:rPr>
        <w:t xml:space="preserve"> </w:t>
      </w:r>
      <w:r>
        <w:rPr>
          <w:rFonts w:ascii="Times New Roman" w:hAnsi="Times New Roman"/>
          <w:sz w:val="24"/>
        </w:rPr>
        <w:t>Cambridge, MA: Harvard University Press, 1962.</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rPr>
        <w:t xml:space="preserve">GIAMBIAGI, F., CASTRO, L. B., VILLELA, A., HERMANN, J. </w:t>
      </w:r>
      <w:r>
        <w:rPr>
          <w:rFonts w:ascii="Times New Roman" w:hAnsi="Times New Roman"/>
          <w:i/>
          <w:iCs/>
          <w:sz w:val="24"/>
        </w:rPr>
        <w:t>Economia Brasileira Contemporânea</w:t>
      </w:r>
      <w:r>
        <w:rPr>
          <w:rFonts w:ascii="Times New Roman" w:hAnsi="Times New Roman"/>
          <w:sz w:val="24"/>
        </w:rPr>
        <w:t xml:space="preserve">, 1945-2004. </w:t>
      </w:r>
      <w:r>
        <w:rPr>
          <w:rFonts w:ascii="Times New Roman" w:hAnsi="Times New Roman"/>
          <w:sz w:val="24"/>
          <w:lang w:val="en-US"/>
        </w:rPr>
        <w:t>São Paulo: Campus, 2004.</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GILPIN, R. </w:t>
      </w:r>
      <w:r>
        <w:rPr>
          <w:rFonts w:ascii="Times New Roman" w:hAnsi="Times New Roman"/>
          <w:i/>
          <w:iCs/>
          <w:sz w:val="24"/>
          <w:lang w:val="en-US"/>
        </w:rPr>
        <w:t>Global political Economy</w:t>
      </w:r>
      <w:r>
        <w:rPr>
          <w:rFonts w:ascii="Times New Roman" w:hAnsi="Times New Roman"/>
          <w:sz w:val="24"/>
          <w:lang w:val="en-US"/>
        </w:rPr>
        <w:t>. Princeton, NJ: Princeton University Press, 2001.</w:t>
      </w:r>
    </w:p>
    <w:p w:rsidR="00B10D19" w:rsidRDefault="00B10D19" w:rsidP="00B10D19">
      <w:pPr>
        <w:pStyle w:val="Lista"/>
        <w:spacing w:line="360" w:lineRule="auto"/>
        <w:jc w:val="both"/>
        <w:rPr>
          <w:rFonts w:ascii="Times New Roman" w:hAnsi="Times New Roman"/>
          <w:sz w:val="24"/>
          <w:lang w:val="en-US"/>
        </w:rPr>
      </w:pPr>
      <w:bookmarkStart w:id="0" w:name="OLE_LINK1"/>
      <w:r>
        <w:rPr>
          <w:rFonts w:ascii="Times New Roman" w:hAnsi="Times New Roman"/>
          <w:sz w:val="24"/>
          <w:lang w:val="en-US"/>
        </w:rPr>
        <w:t>GOODHART, C. A. E.</w:t>
      </w:r>
      <w:bookmarkEnd w:id="0"/>
      <w:r>
        <w:rPr>
          <w:rFonts w:ascii="Times New Roman" w:hAnsi="Times New Roman"/>
          <w:sz w:val="24"/>
          <w:lang w:val="en-US"/>
        </w:rPr>
        <w:t xml:space="preserve"> </w:t>
      </w:r>
      <w:r>
        <w:rPr>
          <w:rFonts w:ascii="Times New Roman" w:hAnsi="Times New Roman"/>
          <w:i/>
          <w:iCs/>
          <w:sz w:val="24"/>
          <w:lang w:val="en-US"/>
        </w:rPr>
        <w:t>Money, Information and Uncertainty</w:t>
      </w:r>
      <w:r>
        <w:rPr>
          <w:rFonts w:ascii="Times New Roman" w:hAnsi="Times New Roman"/>
          <w:sz w:val="24"/>
          <w:lang w:val="en-US"/>
        </w:rPr>
        <w:t>. London: Macmillan, 1989.</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GOODHART, C. A. E. The two concepts of money: implications for the analisys of optimum currency areas. </w:t>
      </w:r>
      <w:r>
        <w:rPr>
          <w:rFonts w:ascii="Times New Roman" w:hAnsi="Times New Roman"/>
          <w:i/>
          <w:iCs/>
          <w:sz w:val="24"/>
          <w:lang w:val="en-US"/>
        </w:rPr>
        <w:t>European Journal of Political Economy</w:t>
      </w:r>
      <w:r>
        <w:rPr>
          <w:rFonts w:ascii="Times New Roman" w:hAnsi="Times New Roman"/>
          <w:sz w:val="24"/>
          <w:lang w:val="en-US"/>
        </w:rPr>
        <w:t>, v.14, p. 407-432, 1998.</w:t>
      </w:r>
    </w:p>
    <w:p w:rsidR="00B10D19" w:rsidRDefault="00B10D19" w:rsidP="00B10D19">
      <w:pPr>
        <w:pStyle w:val="Lista"/>
        <w:spacing w:line="360" w:lineRule="auto"/>
        <w:jc w:val="both"/>
        <w:rPr>
          <w:rFonts w:ascii="Times New Roman" w:hAnsi="Times New Roman"/>
          <w:sz w:val="24"/>
          <w:lang w:val="en-US"/>
        </w:rPr>
      </w:pPr>
      <w:r w:rsidRPr="009F1F35">
        <w:rPr>
          <w:rFonts w:ascii="Times New Roman" w:hAnsi="Times New Roman"/>
          <w:sz w:val="24"/>
          <w:lang w:val="en-US"/>
        </w:rPr>
        <w:t xml:space="preserve">GORENDER, J. </w:t>
      </w:r>
      <w:r w:rsidRPr="009F1F35">
        <w:rPr>
          <w:rFonts w:ascii="Times New Roman" w:hAnsi="Times New Roman"/>
          <w:i/>
          <w:iCs/>
          <w:sz w:val="24"/>
          <w:lang w:val="en-US"/>
        </w:rPr>
        <w:t>O Escravismo Colonial</w:t>
      </w:r>
      <w:r w:rsidRPr="009F1F35">
        <w:rPr>
          <w:rFonts w:ascii="Times New Roman" w:hAnsi="Times New Roman"/>
          <w:sz w:val="24"/>
          <w:lang w:val="en-US"/>
        </w:rPr>
        <w:t xml:space="preserve">. </w:t>
      </w:r>
      <w:r>
        <w:rPr>
          <w:rFonts w:ascii="Times New Roman" w:hAnsi="Times New Roman"/>
          <w:sz w:val="24"/>
          <w:lang w:val="en-US"/>
        </w:rPr>
        <w:t>São Paulo: Ática, 1980.</w:t>
      </w:r>
    </w:p>
    <w:p w:rsidR="00B10D19" w:rsidRPr="009F1F35" w:rsidRDefault="00B10D19" w:rsidP="00B10D19">
      <w:pPr>
        <w:spacing w:before="80" w:after="80" w:line="360" w:lineRule="auto"/>
        <w:ind w:left="520" w:hanging="520"/>
        <w:jc w:val="both"/>
        <w:rPr>
          <w:szCs w:val="20"/>
        </w:rPr>
      </w:pPr>
      <w:r>
        <w:rPr>
          <w:szCs w:val="20"/>
          <w:lang w:val="en-US"/>
        </w:rPr>
        <w:lastRenderedPageBreak/>
        <w:t xml:space="preserve">GREENVILLE, J.A.S. </w:t>
      </w:r>
      <w:r>
        <w:rPr>
          <w:i/>
          <w:iCs/>
          <w:szCs w:val="20"/>
          <w:lang w:val="en-US"/>
        </w:rPr>
        <w:t>A History of the World</w:t>
      </w:r>
      <w:r>
        <w:rPr>
          <w:szCs w:val="20"/>
          <w:lang w:val="en-US"/>
        </w:rPr>
        <w:t>: from the 20th to the 21st century.</w:t>
      </w:r>
      <w:r>
        <w:rPr>
          <w:szCs w:val="20"/>
          <w:lang w:val="en-US"/>
        </w:rPr>
        <w:tab/>
        <w:t xml:space="preserve"> </w:t>
      </w:r>
      <w:r w:rsidRPr="009F1F35">
        <w:rPr>
          <w:szCs w:val="20"/>
        </w:rPr>
        <w:t>New York, Routledge, 2005.</w:t>
      </w:r>
    </w:p>
    <w:p w:rsidR="00B10D19" w:rsidRPr="001B195C" w:rsidRDefault="00B10D19" w:rsidP="00B10D19">
      <w:pPr>
        <w:spacing w:before="80" w:after="80" w:line="360" w:lineRule="auto"/>
        <w:ind w:left="520" w:hanging="520"/>
        <w:jc w:val="both"/>
      </w:pPr>
      <w:r w:rsidRPr="001B195C">
        <w:t xml:space="preserve">HALL, R. L. e HITCH, C. J. A </w:t>
      </w:r>
      <w:r>
        <w:t>T</w:t>
      </w:r>
      <w:r w:rsidRPr="001B195C">
        <w:t xml:space="preserve">eoria dos </w:t>
      </w:r>
      <w:r>
        <w:t>P</w:t>
      </w:r>
      <w:r w:rsidRPr="001B195C">
        <w:t xml:space="preserve">reços e o </w:t>
      </w:r>
      <w:r>
        <w:t>C</w:t>
      </w:r>
      <w:r w:rsidRPr="001B195C">
        <w:t xml:space="preserve">omportamento </w:t>
      </w:r>
      <w:r>
        <w:t>E</w:t>
      </w:r>
      <w:r w:rsidRPr="001B195C">
        <w:t>mpresarial. In Clássicos da Literatura Econômica. Rio de Janeiro: IPEA/INPES</w:t>
      </w:r>
      <w:r>
        <w:t>, 1988</w:t>
      </w:r>
      <w:r w:rsidRPr="001B195C">
        <w:t>.</w:t>
      </w:r>
    </w:p>
    <w:p w:rsidR="00B10D19" w:rsidRPr="001B195C" w:rsidRDefault="00B10D19" w:rsidP="00B10D19">
      <w:pPr>
        <w:spacing w:before="80" w:after="80" w:line="360" w:lineRule="auto"/>
        <w:ind w:left="520" w:hanging="520"/>
        <w:jc w:val="both"/>
        <w:rPr>
          <w:lang w:val="en-US"/>
        </w:rPr>
      </w:pPr>
      <w:r w:rsidRPr="001B195C">
        <w:rPr>
          <w:lang w:val="en-US"/>
        </w:rPr>
        <w:t>HARROD, R. Economic Essays. London: Macmillan, 1952.</w:t>
      </w:r>
    </w:p>
    <w:p w:rsidR="00B10D19" w:rsidRPr="009F1F35" w:rsidRDefault="00B10D19" w:rsidP="00B10D19">
      <w:pPr>
        <w:pStyle w:val="Lista"/>
        <w:spacing w:line="360" w:lineRule="auto"/>
        <w:jc w:val="both"/>
        <w:rPr>
          <w:rFonts w:ascii="Times New Roman" w:hAnsi="Times New Roman"/>
          <w:sz w:val="24"/>
        </w:rPr>
      </w:pPr>
      <w:r>
        <w:rPr>
          <w:rFonts w:ascii="Times New Roman" w:hAnsi="Times New Roman"/>
          <w:sz w:val="24"/>
          <w:lang w:val="en-US"/>
        </w:rPr>
        <w:t xml:space="preserve">HELLEINER, E. </w:t>
      </w:r>
      <w:r>
        <w:rPr>
          <w:rFonts w:ascii="Times New Roman" w:hAnsi="Times New Roman"/>
          <w:i/>
          <w:iCs/>
          <w:sz w:val="24"/>
          <w:lang w:val="en-US"/>
        </w:rPr>
        <w:t>States and the Reemergence of Global Finance</w:t>
      </w:r>
      <w:r>
        <w:rPr>
          <w:rFonts w:ascii="Times New Roman" w:hAnsi="Times New Roman"/>
          <w:sz w:val="24"/>
          <w:lang w:val="en-US"/>
        </w:rPr>
        <w:t xml:space="preserve">: from Bretton Woods to the 1990s. </w:t>
      </w:r>
      <w:r w:rsidRPr="009F1F35">
        <w:rPr>
          <w:rFonts w:ascii="Times New Roman" w:hAnsi="Times New Roman"/>
          <w:sz w:val="24"/>
        </w:rPr>
        <w:t>Ithaca: Cornell University Press, 1994.</w:t>
      </w:r>
    </w:p>
    <w:p w:rsidR="00B10D19" w:rsidRPr="009178C9" w:rsidRDefault="00B10D19" w:rsidP="00B10D19">
      <w:pPr>
        <w:spacing w:before="80" w:after="80" w:line="360" w:lineRule="auto"/>
        <w:ind w:left="520" w:hanging="520"/>
        <w:jc w:val="both"/>
      </w:pPr>
      <w:r w:rsidRPr="009178C9">
        <w:t xml:space="preserve">HILFERDING, R. </w:t>
      </w:r>
      <w:r w:rsidRPr="009178C9">
        <w:rPr>
          <w:i/>
        </w:rPr>
        <w:t>O Capital Financeiro</w:t>
      </w:r>
      <w:r w:rsidRPr="009178C9">
        <w:t>. São Paulo: Nova Cultural, 1985 (Os Economistas).</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HIRSCHMAN, A. O. </w:t>
      </w:r>
      <w:r>
        <w:rPr>
          <w:rFonts w:ascii="Times New Roman" w:hAnsi="Times New Roman"/>
          <w:bCs/>
          <w:i/>
          <w:iCs/>
          <w:sz w:val="24"/>
          <w:lang w:val="en-US"/>
        </w:rPr>
        <w:t>Essays in Trespassing: Economics to Politics and Beyond</w:t>
      </w:r>
      <w:r>
        <w:rPr>
          <w:rFonts w:ascii="Times New Roman" w:hAnsi="Times New Roman"/>
          <w:bCs/>
          <w:sz w:val="24"/>
          <w:lang w:val="en-US"/>
        </w:rPr>
        <w:t xml:space="preserve">. </w:t>
      </w:r>
      <w:r>
        <w:rPr>
          <w:rFonts w:ascii="Times New Roman" w:hAnsi="Times New Roman"/>
          <w:sz w:val="24"/>
          <w:lang w:val="en-US"/>
        </w:rPr>
        <w:t>Cambridge: Cambridge University Press, 1981.</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HIRSCHMAN, A. O. </w:t>
      </w:r>
      <w:r>
        <w:rPr>
          <w:rFonts w:ascii="Times New Roman" w:hAnsi="Times New Roman"/>
          <w:bCs/>
          <w:i/>
          <w:iCs/>
          <w:sz w:val="24"/>
          <w:lang w:val="en-US"/>
        </w:rPr>
        <w:t>The Strategy of Economic Development</w:t>
      </w:r>
      <w:r>
        <w:rPr>
          <w:rFonts w:ascii="Times New Roman" w:hAnsi="Times New Roman"/>
          <w:bCs/>
          <w:sz w:val="24"/>
          <w:lang w:val="en-US"/>
        </w:rPr>
        <w:t xml:space="preserve">. </w:t>
      </w:r>
      <w:r>
        <w:rPr>
          <w:rFonts w:ascii="Times New Roman" w:hAnsi="Times New Roman"/>
          <w:sz w:val="24"/>
          <w:lang w:val="en-US"/>
        </w:rPr>
        <w:t xml:space="preserve"> New Haven: Yale University Press, 1958.</w:t>
      </w:r>
    </w:p>
    <w:p w:rsidR="00B10D19" w:rsidRDefault="00B10D19" w:rsidP="00B10D19">
      <w:pPr>
        <w:pStyle w:val="Lista"/>
        <w:spacing w:line="360" w:lineRule="auto"/>
        <w:jc w:val="both"/>
        <w:rPr>
          <w:rFonts w:ascii="Times New Roman" w:hAnsi="Times New Roman"/>
          <w:sz w:val="24"/>
        </w:rPr>
      </w:pPr>
      <w:r>
        <w:rPr>
          <w:rFonts w:ascii="Times New Roman" w:hAnsi="Times New Roman"/>
          <w:caps/>
          <w:sz w:val="24"/>
        </w:rPr>
        <w:t>Hobsbawm</w:t>
      </w:r>
      <w:r>
        <w:rPr>
          <w:rFonts w:ascii="Times New Roman" w:hAnsi="Times New Roman"/>
          <w:sz w:val="24"/>
        </w:rPr>
        <w:t xml:space="preserve">, E. J. </w:t>
      </w:r>
      <w:r>
        <w:rPr>
          <w:rFonts w:ascii="Times New Roman" w:hAnsi="Times New Roman"/>
          <w:i/>
          <w:iCs/>
          <w:sz w:val="24"/>
        </w:rPr>
        <w:t>A Era das Revoluções</w:t>
      </w:r>
      <w:r>
        <w:rPr>
          <w:rFonts w:ascii="Times New Roman" w:hAnsi="Times New Roman"/>
          <w:sz w:val="24"/>
        </w:rPr>
        <w:t xml:space="preserve">, 7.ed. Rio de Janeiro: Paz e Terra, 1977.  </w:t>
      </w:r>
    </w:p>
    <w:p w:rsidR="00B10D19" w:rsidRDefault="00B10D19" w:rsidP="00B10D19">
      <w:pPr>
        <w:pStyle w:val="Lista"/>
        <w:spacing w:line="360" w:lineRule="auto"/>
        <w:jc w:val="both"/>
        <w:rPr>
          <w:rFonts w:ascii="Times New Roman" w:hAnsi="Times New Roman"/>
          <w:sz w:val="24"/>
        </w:rPr>
      </w:pPr>
      <w:r>
        <w:rPr>
          <w:rFonts w:ascii="Times New Roman" w:hAnsi="Times New Roman"/>
          <w:caps/>
          <w:sz w:val="24"/>
        </w:rPr>
        <w:t>Hobsbawm</w:t>
      </w:r>
      <w:r>
        <w:rPr>
          <w:rFonts w:ascii="Times New Roman" w:hAnsi="Times New Roman"/>
          <w:sz w:val="24"/>
        </w:rPr>
        <w:t xml:space="preserve">, E. J. </w:t>
      </w:r>
      <w:r>
        <w:rPr>
          <w:rFonts w:ascii="Times New Roman" w:hAnsi="Times New Roman"/>
          <w:i/>
          <w:iCs/>
          <w:sz w:val="24"/>
        </w:rPr>
        <w:t>A Era do Capital</w:t>
      </w:r>
      <w:r>
        <w:rPr>
          <w:rFonts w:ascii="Times New Roman" w:hAnsi="Times New Roman"/>
          <w:sz w:val="24"/>
        </w:rPr>
        <w:t>: 1848-1875, 3.ed. Rio de Janeiro: Paz e Terra, 1982.</w:t>
      </w:r>
    </w:p>
    <w:p w:rsidR="00B10D19" w:rsidRDefault="00B10D19" w:rsidP="00B10D19">
      <w:pPr>
        <w:pStyle w:val="Lista"/>
        <w:spacing w:line="360" w:lineRule="auto"/>
        <w:jc w:val="both"/>
        <w:rPr>
          <w:rFonts w:ascii="Times New Roman" w:hAnsi="Times New Roman"/>
          <w:sz w:val="24"/>
        </w:rPr>
      </w:pPr>
      <w:r>
        <w:rPr>
          <w:rFonts w:ascii="Times New Roman" w:hAnsi="Times New Roman"/>
          <w:caps/>
          <w:sz w:val="24"/>
        </w:rPr>
        <w:t>Hobsbawm</w:t>
      </w:r>
      <w:r>
        <w:rPr>
          <w:rFonts w:ascii="Times New Roman" w:hAnsi="Times New Roman"/>
          <w:sz w:val="24"/>
        </w:rPr>
        <w:t xml:space="preserve">, E. J. </w:t>
      </w:r>
      <w:r>
        <w:rPr>
          <w:rFonts w:ascii="Times New Roman" w:hAnsi="Times New Roman"/>
          <w:i/>
          <w:iCs/>
          <w:sz w:val="24"/>
        </w:rPr>
        <w:t>A Era dos Impérios</w:t>
      </w:r>
      <w:r>
        <w:rPr>
          <w:rFonts w:ascii="Times New Roman" w:hAnsi="Times New Roman"/>
          <w:sz w:val="24"/>
        </w:rPr>
        <w:t>: 1875-1914, 2a ed. Rio de Janeiro: Paz e Terra, 1988.</w:t>
      </w:r>
    </w:p>
    <w:p w:rsidR="00B10D19" w:rsidRDefault="00B10D19" w:rsidP="00B10D19">
      <w:pPr>
        <w:pStyle w:val="Lista"/>
        <w:spacing w:line="360" w:lineRule="auto"/>
        <w:jc w:val="both"/>
        <w:rPr>
          <w:rFonts w:ascii="Times New Roman" w:hAnsi="Times New Roman"/>
          <w:sz w:val="24"/>
        </w:rPr>
      </w:pPr>
      <w:r>
        <w:rPr>
          <w:rFonts w:ascii="Times New Roman" w:hAnsi="Times New Roman"/>
          <w:caps/>
          <w:sz w:val="24"/>
        </w:rPr>
        <w:t>Hobsbawm</w:t>
      </w:r>
      <w:r>
        <w:rPr>
          <w:rFonts w:ascii="Times New Roman" w:hAnsi="Times New Roman"/>
          <w:sz w:val="24"/>
        </w:rPr>
        <w:t xml:space="preserve">, E. J. </w:t>
      </w:r>
      <w:r>
        <w:rPr>
          <w:rFonts w:ascii="Times New Roman" w:hAnsi="Times New Roman"/>
          <w:i/>
          <w:iCs/>
          <w:sz w:val="24"/>
        </w:rPr>
        <w:t>Era dos Extremos</w:t>
      </w:r>
      <w:r>
        <w:rPr>
          <w:rFonts w:ascii="Times New Roman" w:hAnsi="Times New Roman"/>
          <w:sz w:val="24"/>
        </w:rPr>
        <w:t xml:space="preserve">: o breve século XX, 1914-1991. São Paulo: Companhia das Letras, 1994.  </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HOLANDA, S.B. </w:t>
      </w:r>
      <w:r>
        <w:rPr>
          <w:rFonts w:ascii="Times New Roman" w:hAnsi="Times New Roman"/>
          <w:i/>
          <w:iCs/>
          <w:sz w:val="24"/>
        </w:rPr>
        <w:t>Raízes do Brasil</w:t>
      </w:r>
      <w:r>
        <w:rPr>
          <w:rFonts w:ascii="Times New Roman" w:hAnsi="Times New Roman"/>
          <w:sz w:val="24"/>
        </w:rPr>
        <w:t>. Rio de Janeiro: José Olympio, 1936.</w:t>
      </w:r>
    </w:p>
    <w:p w:rsidR="00B10D19" w:rsidRDefault="00B10D19" w:rsidP="00B10D19">
      <w:pPr>
        <w:spacing w:before="80" w:after="80" w:line="360" w:lineRule="auto"/>
        <w:ind w:left="520" w:hanging="520"/>
        <w:jc w:val="both"/>
        <w:rPr>
          <w:lang w:val="en-US"/>
        </w:rPr>
      </w:pPr>
      <w:r>
        <w:t xml:space="preserve">HYMER, S. </w:t>
      </w:r>
      <w:r>
        <w:rPr>
          <w:i/>
        </w:rPr>
        <w:t>Empresas Multinacionais</w:t>
      </w:r>
      <w:r>
        <w:t xml:space="preserve">: a internacionalização do capital. </w:t>
      </w:r>
      <w:r>
        <w:rPr>
          <w:lang w:val="en-US"/>
        </w:rPr>
        <w:t xml:space="preserve">Rio de Janeiro: Graal, 1978. </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IMF. </w:t>
      </w:r>
      <w:r>
        <w:rPr>
          <w:rFonts w:ascii="Times New Roman" w:hAnsi="Times New Roman"/>
          <w:i/>
          <w:iCs/>
          <w:sz w:val="24"/>
          <w:lang w:val="en-US"/>
        </w:rPr>
        <w:t>Balance of Payments Manual</w:t>
      </w:r>
      <w:r>
        <w:rPr>
          <w:rFonts w:ascii="Times New Roman" w:hAnsi="Times New Roman"/>
          <w:sz w:val="24"/>
          <w:lang w:val="en-US"/>
        </w:rPr>
        <w:t>, 5th ed. Washington D.C: International Monetary Fund, 1993.</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IMF. </w:t>
      </w:r>
      <w:r>
        <w:rPr>
          <w:rFonts w:ascii="Times New Roman" w:hAnsi="Times New Roman"/>
          <w:i/>
          <w:iCs/>
          <w:sz w:val="24"/>
          <w:lang w:val="en-US"/>
        </w:rPr>
        <w:t>World Economic Outlook</w:t>
      </w:r>
      <w:r>
        <w:rPr>
          <w:rFonts w:ascii="Times New Roman" w:hAnsi="Times New Roman"/>
          <w:sz w:val="24"/>
          <w:lang w:val="en-US"/>
        </w:rPr>
        <w:t>, May. Washington, DC: International Monetary Fund, 1998.</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ISARD, P. </w:t>
      </w:r>
      <w:r>
        <w:rPr>
          <w:rFonts w:ascii="Times New Roman" w:hAnsi="Times New Roman"/>
          <w:i/>
          <w:iCs/>
          <w:sz w:val="24"/>
          <w:lang w:val="en-US"/>
        </w:rPr>
        <w:t>Exchange Rate Economics</w:t>
      </w:r>
      <w:r>
        <w:rPr>
          <w:rFonts w:ascii="Times New Roman" w:hAnsi="Times New Roman"/>
          <w:sz w:val="24"/>
          <w:lang w:val="en-US"/>
        </w:rPr>
        <w:t xml:space="preserve">. Cambridge, GB: Cambridge University Press, 1995. </w:t>
      </w:r>
    </w:p>
    <w:p w:rsidR="00B10D19" w:rsidRDefault="00B10D19" w:rsidP="00B10D19">
      <w:pPr>
        <w:pStyle w:val="Lista"/>
        <w:spacing w:line="360" w:lineRule="auto"/>
        <w:jc w:val="both"/>
        <w:rPr>
          <w:sz w:val="24"/>
          <w:lang w:val="en-GB"/>
        </w:rPr>
      </w:pPr>
      <w:r>
        <w:rPr>
          <w:rFonts w:ascii="Times New Roman" w:hAnsi="Times New Roman"/>
          <w:sz w:val="24"/>
          <w:lang w:val="en-US"/>
        </w:rPr>
        <w:t>JOSEPH E. STIGLITZ, J.E., OCAMPO, J. A., SPIEGEL, S., FFRENCH-DAVIS, R., NAYYAR, D. Stability with Growth: macroeconomics, liberalization and development. New York: Oxford University Press, 2006.</w:t>
      </w:r>
    </w:p>
    <w:p w:rsidR="00B10D19" w:rsidRPr="001B195C" w:rsidRDefault="00B10D19" w:rsidP="00B10D19">
      <w:pPr>
        <w:spacing w:before="80" w:after="80" w:line="360" w:lineRule="auto"/>
        <w:ind w:left="520" w:hanging="520"/>
        <w:jc w:val="both"/>
        <w:rPr>
          <w:lang w:val="en-US"/>
        </w:rPr>
      </w:pPr>
      <w:r w:rsidRPr="001B195C">
        <w:rPr>
          <w:lang w:val="en-US"/>
        </w:rPr>
        <w:lastRenderedPageBreak/>
        <w:t xml:space="preserve">KALDOR, N. Mrs. Robinson’s ‘Economics of Imperfect Competition’. In: Essays on </w:t>
      </w:r>
      <w:r>
        <w:rPr>
          <w:lang w:val="en-US"/>
        </w:rPr>
        <w:t>V</w:t>
      </w:r>
      <w:r w:rsidRPr="001B195C">
        <w:rPr>
          <w:lang w:val="en-US"/>
        </w:rPr>
        <w:t xml:space="preserve">alue and </w:t>
      </w:r>
      <w:r>
        <w:rPr>
          <w:lang w:val="en-US"/>
        </w:rPr>
        <w:t>D</w:t>
      </w:r>
      <w:r w:rsidRPr="001B195C">
        <w:rPr>
          <w:lang w:val="en-US"/>
        </w:rPr>
        <w:t>istribution. New York: Free Press</w:t>
      </w:r>
      <w:r>
        <w:rPr>
          <w:lang w:val="en-US"/>
        </w:rPr>
        <w:t>, 1960</w:t>
      </w:r>
      <w:r w:rsidRPr="001B195C">
        <w:rPr>
          <w:lang w:val="en-US"/>
        </w:rPr>
        <w:t>.</w:t>
      </w:r>
    </w:p>
    <w:p w:rsidR="00B10D19" w:rsidRPr="009F1F35" w:rsidRDefault="00B10D19" w:rsidP="00B10D19">
      <w:pPr>
        <w:spacing w:before="80" w:after="80" w:line="360" w:lineRule="auto"/>
        <w:ind w:left="520" w:hanging="520"/>
        <w:jc w:val="both"/>
      </w:pPr>
      <w:r w:rsidRPr="001B195C">
        <w:rPr>
          <w:lang w:val="en-US"/>
        </w:rPr>
        <w:t xml:space="preserve">KALECKI, M. Money and Real Wages. In. OSIATYNSKI, J. </w:t>
      </w:r>
      <w:r w:rsidRPr="001B195C">
        <w:rPr>
          <w:i/>
          <w:lang w:val="en-US"/>
        </w:rPr>
        <w:t>Collected Works of Michal Kalecki</w:t>
      </w:r>
      <w:r w:rsidRPr="001B195C">
        <w:rPr>
          <w:lang w:val="en-US"/>
        </w:rPr>
        <w:t xml:space="preserve">. </w:t>
      </w:r>
      <w:r w:rsidRPr="009F1F35">
        <w:t>Oxford: Clarendon Press.Vol. II, 1990b.</w:t>
      </w:r>
    </w:p>
    <w:p w:rsidR="00B10D19" w:rsidRPr="009178C9" w:rsidRDefault="00B10D19" w:rsidP="00B10D19">
      <w:pPr>
        <w:spacing w:before="80" w:after="80" w:line="360" w:lineRule="auto"/>
        <w:ind w:left="520" w:hanging="520"/>
        <w:jc w:val="both"/>
      </w:pPr>
      <w:r w:rsidRPr="009178C9">
        <w:t xml:space="preserve">KALECKI, M. </w:t>
      </w:r>
      <w:r w:rsidRPr="009178C9">
        <w:rPr>
          <w:i/>
        </w:rPr>
        <w:t>Teoria da Dinâmica Econômica</w:t>
      </w:r>
      <w:r w:rsidRPr="009178C9">
        <w:t>. São Paulo: Abril Cultural, 1983 (Os Economistas).</w:t>
      </w:r>
    </w:p>
    <w:p w:rsidR="00B10D19" w:rsidRPr="001B195C" w:rsidRDefault="00B10D19" w:rsidP="00B10D19">
      <w:pPr>
        <w:spacing w:before="80" w:after="80" w:line="360" w:lineRule="auto"/>
        <w:ind w:left="520" w:hanging="520"/>
        <w:jc w:val="both"/>
      </w:pPr>
      <w:r w:rsidRPr="001B195C">
        <w:t xml:space="preserve">KALECKI, M. </w:t>
      </w:r>
      <w:r w:rsidRPr="001B195C">
        <w:rPr>
          <w:i/>
        </w:rPr>
        <w:t>Teoria da Dinâmica Econômica</w:t>
      </w:r>
      <w:r w:rsidRPr="001B195C">
        <w:t>. São Paulo: Abril Cultural</w:t>
      </w:r>
      <w:r>
        <w:t>, 1983</w:t>
      </w:r>
      <w:r w:rsidRPr="001B195C">
        <w:t xml:space="preserve"> (Os Economistas).</w:t>
      </w:r>
    </w:p>
    <w:p w:rsidR="00B10D19" w:rsidRPr="001B195C" w:rsidRDefault="00B10D19" w:rsidP="00B10D19">
      <w:pPr>
        <w:spacing w:before="80" w:after="80" w:line="360" w:lineRule="auto"/>
        <w:ind w:left="520" w:hanging="520"/>
        <w:jc w:val="both"/>
        <w:rPr>
          <w:lang w:val="en-US"/>
        </w:rPr>
      </w:pPr>
      <w:r w:rsidRPr="001B195C">
        <w:rPr>
          <w:lang w:val="en-US"/>
        </w:rPr>
        <w:t xml:space="preserve">KALECKI, M. The supply curve of an industry under imperfect competition”. In: OSIATYNSKI, J. </w:t>
      </w:r>
      <w:r w:rsidRPr="001B195C">
        <w:rPr>
          <w:i/>
          <w:lang w:val="en-US"/>
        </w:rPr>
        <w:t>Collected Works of Michal Kalecki</w:t>
      </w:r>
      <w:r w:rsidRPr="001B195C">
        <w:rPr>
          <w:lang w:val="en-US"/>
        </w:rPr>
        <w:t>. Oxford: Clarendon Press. Vol. II</w:t>
      </w:r>
      <w:r>
        <w:rPr>
          <w:lang w:val="en-US"/>
        </w:rPr>
        <w:t>, 1990a</w:t>
      </w:r>
      <w:r w:rsidRPr="001B195C">
        <w:rPr>
          <w:lang w:val="en-US"/>
        </w:rPr>
        <w:t xml:space="preserve">. </w:t>
      </w:r>
    </w:p>
    <w:p w:rsidR="00B10D19" w:rsidRPr="00721E80" w:rsidRDefault="00B10D19" w:rsidP="00B10D19">
      <w:pPr>
        <w:pStyle w:val="Lista"/>
        <w:spacing w:line="360" w:lineRule="auto"/>
        <w:jc w:val="both"/>
        <w:rPr>
          <w:rFonts w:ascii="Times New Roman" w:hAnsi="Times New Roman"/>
          <w:sz w:val="24"/>
          <w:lang w:val="en-US"/>
        </w:rPr>
      </w:pPr>
      <w:r w:rsidRPr="00721E80">
        <w:rPr>
          <w:rFonts w:ascii="Times New Roman" w:hAnsi="Times New Roman"/>
          <w:sz w:val="24"/>
          <w:lang w:val="en-US"/>
        </w:rPr>
        <w:t xml:space="preserve">KAMINSKY, G; LIZONDO, S.; REINHART, C.M. </w:t>
      </w:r>
      <w:r w:rsidRPr="00721E80">
        <w:rPr>
          <w:rFonts w:ascii="Times New Roman" w:hAnsi="Times New Roman"/>
          <w:i/>
          <w:iCs/>
          <w:sz w:val="24"/>
          <w:lang w:val="en-US"/>
        </w:rPr>
        <w:t>Leading Indicators of Currency Crises</w:t>
      </w:r>
      <w:r w:rsidRPr="00721E80">
        <w:rPr>
          <w:rFonts w:ascii="Times New Roman" w:hAnsi="Times New Roman"/>
          <w:sz w:val="24"/>
          <w:lang w:val="en-US"/>
        </w:rPr>
        <w:t xml:space="preserve">. Washington D.C.: International Monetary Fund, 1997 (Working Paper n.97/79). </w:t>
      </w:r>
    </w:p>
    <w:p w:rsidR="00B10D19" w:rsidRDefault="00B10D19" w:rsidP="00B10D19">
      <w:pPr>
        <w:pStyle w:val="Lista"/>
        <w:spacing w:line="360" w:lineRule="auto"/>
        <w:jc w:val="both"/>
        <w:rPr>
          <w:rFonts w:ascii="Times New Roman" w:hAnsi="Times New Roman"/>
          <w:sz w:val="24"/>
          <w:lang w:val="en-US"/>
        </w:rPr>
      </w:pPr>
      <w:r w:rsidRPr="00721E80">
        <w:rPr>
          <w:rFonts w:ascii="Times New Roman" w:hAnsi="Times New Roman"/>
          <w:sz w:val="24"/>
          <w:lang w:val="en-US"/>
        </w:rPr>
        <w:t>KEYNES, J. M. (1943). The International Clearing Union. In HARRIS, S.E. (1950, org.). The</w:t>
      </w:r>
      <w:r>
        <w:rPr>
          <w:rFonts w:ascii="Times New Roman" w:hAnsi="Times New Roman"/>
          <w:sz w:val="24"/>
          <w:lang w:val="en-US"/>
        </w:rPr>
        <w:t xml:space="preserve">  New Economics: Keynes Influence on Theory and Public Policies. </w:t>
      </w:r>
      <w:r>
        <w:rPr>
          <w:rFonts w:ascii="Times New Roman" w:hAnsi="Times New Roman"/>
          <w:sz w:val="24"/>
        </w:rPr>
        <w:t xml:space="preserve">New York: Alfred A. Knopf. Reproduzido em português em: SZMRECSÁNYI, T. (1978). </w:t>
      </w:r>
      <w:r>
        <w:rPr>
          <w:rFonts w:ascii="Times New Roman" w:hAnsi="Times New Roman"/>
          <w:sz w:val="24"/>
          <w:lang w:val="en-US"/>
        </w:rPr>
        <w:t>John Maynard Keynes: economia. São Paulo: Ática.</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lang w:val="en-US"/>
        </w:rPr>
        <w:t xml:space="preserve">KEYNES, J. M. </w:t>
      </w:r>
      <w:r>
        <w:rPr>
          <w:rFonts w:ascii="Times New Roman" w:hAnsi="Times New Roman"/>
          <w:i/>
          <w:iCs/>
          <w:sz w:val="24"/>
          <w:lang w:val="en-US"/>
        </w:rPr>
        <w:t>The International Monetary Fund</w:t>
      </w:r>
      <w:r>
        <w:rPr>
          <w:rFonts w:ascii="Times New Roman" w:hAnsi="Times New Roman"/>
          <w:sz w:val="24"/>
          <w:lang w:val="en-US"/>
        </w:rPr>
        <w:t xml:space="preserve">, 1944. In HARRIS, S.E. (1950, org.). The New Economics: Keynes influence on theory and public policies. </w:t>
      </w:r>
      <w:r>
        <w:rPr>
          <w:rFonts w:ascii="Times New Roman" w:hAnsi="Times New Roman"/>
          <w:sz w:val="24"/>
        </w:rPr>
        <w:t>New York: Alfred A. Knopf. Reproduzido em português em: SZMRECSÁNYI, T. (1978). John Maynard Keynes: economia. São Paulo: Ática.</w:t>
      </w:r>
    </w:p>
    <w:p w:rsidR="00B10D19" w:rsidRPr="008B5541" w:rsidRDefault="00B10D19" w:rsidP="00B10D19">
      <w:pPr>
        <w:spacing w:before="80" w:after="80" w:line="360" w:lineRule="auto"/>
        <w:ind w:left="520" w:hanging="520"/>
        <w:jc w:val="both"/>
        <w:rPr>
          <w:lang w:val="es-ES_tradnl"/>
        </w:rPr>
      </w:pPr>
      <w:r w:rsidRPr="008B5541">
        <w:t xml:space="preserve">KEYNES, J.M. </w:t>
      </w:r>
      <w:r w:rsidRPr="008B5541">
        <w:rPr>
          <w:i/>
        </w:rPr>
        <w:t>A Teoria Geral do Emprego, do Juro e do Dinheiro</w:t>
      </w:r>
      <w:r w:rsidRPr="008B5541">
        <w:t xml:space="preserve">. São Paulo: Abril Cultural, 1983. </w:t>
      </w:r>
      <w:r w:rsidRPr="008B5541">
        <w:rPr>
          <w:lang w:val="es-ES_tradnl"/>
        </w:rPr>
        <w:t>(Os Economistas).</w:t>
      </w:r>
    </w:p>
    <w:p w:rsidR="00B10D19" w:rsidRDefault="00B10D19" w:rsidP="00B10D19">
      <w:pPr>
        <w:spacing w:before="80" w:after="80" w:line="360" w:lineRule="auto"/>
        <w:ind w:left="520" w:hanging="520"/>
        <w:jc w:val="both"/>
        <w:rPr>
          <w:lang w:val="en-US"/>
        </w:rPr>
      </w:pPr>
      <w:r>
        <w:rPr>
          <w:lang w:val="en-US"/>
        </w:rPr>
        <w:t xml:space="preserve">KINDLEBERGER, C. P. </w:t>
      </w:r>
      <w:r>
        <w:rPr>
          <w:i/>
          <w:lang w:val="en-US"/>
        </w:rPr>
        <w:t>American Business Abroad</w:t>
      </w:r>
      <w:r>
        <w:rPr>
          <w:lang w:val="en-US"/>
        </w:rPr>
        <w:t xml:space="preserve">: six lectures on direct investment. New Heaven: Yale University, 1969. </w:t>
      </w:r>
    </w:p>
    <w:p w:rsidR="00B10D19" w:rsidRDefault="00B10D19" w:rsidP="00B10D19">
      <w:pPr>
        <w:pStyle w:val="Lista"/>
        <w:spacing w:line="360" w:lineRule="auto"/>
        <w:jc w:val="both"/>
        <w:rPr>
          <w:rFonts w:ascii="Times New Roman" w:hAnsi="Times New Roman"/>
          <w:sz w:val="24"/>
        </w:rPr>
      </w:pPr>
      <w:r w:rsidRPr="009F1F35">
        <w:rPr>
          <w:rFonts w:ascii="Times New Roman" w:hAnsi="Times New Roman"/>
          <w:sz w:val="24"/>
          <w:lang w:val="en-US"/>
        </w:rPr>
        <w:t xml:space="preserve">KINDLEBERGER, C. P. </w:t>
      </w:r>
      <w:r w:rsidRPr="009F1F35">
        <w:rPr>
          <w:rFonts w:ascii="Times New Roman" w:hAnsi="Times New Roman"/>
          <w:i/>
          <w:iCs/>
          <w:sz w:val="24"/>
          <w:lang w:val="en-US"/>
        </w:rPr>
        <w:t>Manias, Pânicos e Crashes</w:t>
      </w:r>
      <w:r w:rsidRPr="009F1F35">
        <w:rPr>
          <w:rFonts w:ascii="Times New Roman" w:hAnsi="Times New Roman"/>
          <w:sz w:val="24"/>
          <w:lang w:val="en-US"/>
        </w:rPr>
        <w:t xml:space="preserve">, 3ª ed. </w:t>
      </w:r>
      <w:r>
        <w:rPr>
          <w:rFonts w:ascii="Times New Roman" w:hAnsi="Times New Roman"/>
          <w:sz w:val="24"/>
        </w:rPr>
        <w:t>Rio de Janeiro: Nova Fronteira, 2000.</w:t>
      </w:r>
    </w:p>
    <w:p w:rsidR="00B10D19" w:rsidRPr="008B5541" w:rsidRDefault="00B10D19" w:rsidP="00B10D19">
      <w:pPr>
        <w:spacing w:before="80" w:after="80" w:line="360" w:lineRule="auto"/>
        <w:ind w:left="520" w:hanging="520"/>
        <w:jc w:val="both"/>
      </w:pPr>
      <w:r w:rsidRPr="008B5541">
        <w:t xml:space="preserve">KNIGHT, F. </w:t>
      </w:r>
      <w:r w:rsidRPr="008B5541">
        <w:rPr>
          <w:i/>
        </w:rPr>
        <w:t xml:space="preserve">Risco, </w:t>
      </w:r>
      <w:r>
        <w:rPr>
          <w:i/>
        </w:rPr>
        <w:t>I</w:t>
      </w:r>
      <w:r w:rsidRPr="008B5541">
        <w:rPr>
          <w:i/>
        </w:rPr>
        <w:t xml:space="preserve">ncerteza e </w:t>
      </w:r>
      <w:r>
        <w:rPr>
          <w:i/>
        </w:rPr>
        <w:t>L</w:t>
      </w:r>
      <w:r w:rsidRPr="008B5541">
        <w:rPr>
          <w:i/>
        </w:rPr>
        <w:t>ucro</w:t>
      </w:r>
      <w:r w:rsidRPr="008B5541">
        <w:t>. Rio de Janeiro: Editora Expressão e Cultura, 1972.</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KRUEGER, A. O. (1974). The Political Economy of the Rent-Seeking Society. </w:t>
      </w:r>
      <w:r>
        <w:rPr>
          <w:rFonts w:ascii="Times New Roman" w:hAnsi="Times New Roman"/>
          <w:bCs/>
          <w:i/>
          <w:iCs/>
          <w:sz w:val="24"/>
          <w:lang w:val="en-US"/>
        </w:rPr>
        <w:t>The American Economic Review</w:t>
      </w:r>
      <w:r>
        <w:rPr>
          <w:rFonts w:ascii="Times New Roman" w:hAnsi="Times New Roman"/>
          <w:sz w:val="24"/>
          <w:lang w:val="en-US"/>
        </w:rPr>
        <w:t>, v. 64, n.3, june, p. 291-303, 1974.</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lastRenderedPageBreak/>
        <w:t xml:space="preserve">KRUEGER, A. O. </w:t>
      </w:r>
      <w:r>
        <w:rPr>
          <w:rFonts w:ascii="Times New Roman" w:hAnsi="Times New Roman"/>
          <w:i/>
          <w:iCs/>
          <w:sz w:val="24"/>
          <w:lang w:val="en-US"/>
        </w:rPr>
        <w:t>International Financial Architecture for 2002</w:t>
      </w:r>
      <w:r>
        <w:rPr>
          <w:rFonts w:ascii="Times New Roman" w:hAnsi="Times New Roman"/>
          <w:sz w:val="24"/>
          <w:lang w:val="en-US"/>
        </w:rPr>
        <w:t xml:space="preserve">: </w:t>
      </w:r>
      <w:r>
        <w:rPr>
          <w:rFonts w:ascii="Times New Roman" w:hAnsi="Times New Roman"/>
          <w:sz w:val="24"/>
          <w:lang w:val="en-US"/>
        </w:rPr>
        <w:br/>
        <w:t>A New Approach to Sovereign Debt Restructuring. Speech at the National Economists' Club Annual Members' Dinner American Enterprise Institute, Washington DC, 2001.</w:t>
      </w:r>
    </w:p>
    <w:p w:rsidR="00B10D19" w:rsidRDefault="00B10D19" w:rsidP="00B10D19">
      <w:pPr>
        <w:spacing w:before="80" w:after="80" w:line="360" w:lineRule="auto"/>
        <w:ind w:left="520" w:hanging="520"/>
        <w:jc w:val="both"/>
      </w:pPr>
      <w:r>
        <w:t xml:space="preserve">KUME, H., PIANI, G., SOUZA, C.F. </w:t>
      </w:r>
      <w:r>
        <w:rPr>
          <w:i/>
        </w:rPr>
        <w:t>A Política Brasileira de Importação no Período 1987 – 98</w:t>
      </w:r>
      <w:r>
        <w:t>: descrição e avaliação. Instituto de Pesquisa Econômica Aplicada (IPEA), 2000.</w:t>
      </w:r>
    </w:p>
    <w:p w:rsidR="00B10D19" w:rsidRPr="001B195C" w:rsidRDefault="00B10D19" w:rsidP="00B10D19">
      <w:pPr>
        <w:spacing w:before="80" w:after="80" w:line="360" w:lineRule="auto"/>
        <w:ind w:left="520" w:hanging="520"/>
        <w:jc w:val="both"/>
        <w:rPr>
          <w:lang w:val="en-US"/>
        </w:rPr>
      </w:pPr>
      <w:r w:rsidRPr="009F1F35">
        <w:t xml:space="preserve">KUPFER, D., HASENCLEVER, L. (orgs). </w:t>
      </w:r>
      <w:r w:rsidRPr="001B195C">
        <w:rPr>
          <w:i/>
        </w:rPr>
        <w:t>Economia Industrial</w:t>
      </w:r>
      <w:r w:rsidRPr="001B195C">
        <w:t xml:space="preserve">: </w:t>
      </w:r>
      <w:r>
        <w:t>f</w:t>
      </w:r>
      <w:r w:rsidRPr="001B195C">
        <w:t xml:space="preserve">undamentos </w:t>
      </w:r>
      <w:r>
        <w:t>t</w:t>
      </w:r>
      <w:r w:rsidRPr="001B195C">
        <w:t xml:space="preserve">eóricos e </w:t>
      </w:r>
      <w:r>
        <w:t>p</w:t>
      </w:r>
      <w:r w:rsidRPr="001B195C">
        <w:t xml:space="preserve">ráticas no Brasil. </w:t>
      </w:r>
      <w:r w:rsidRPr="001B195C">
        <w:rPr>
          <w:lang w:val="en-US"/>
        </w:rPr>
        <w:t>Rio de Janeiro: Campus, 2002.</w:t>
      </w:r>
    </w:p>
    <w:p w:rsidR="00B10D19" w:rsidRPr="009F1F35" w:rsidRDefault="00B10D19" w:rsidP="00B10D19">
      <w:pPr>
        <w:pStyle w:val="Lista"/>
        <w:spacing w:line="360" w:lineRule="auto"/>
        <w:jc w:val="both"/>
        <w:rPr>
          <w:rFonts w:ascii="Times New Roman" w:hAnsi="Times New Roman"/>
          <w:b/>
          <w:sz w:val="24"/>
          <w:lang w:val="en-US"/>
        </w:rPr>
      </w:pPr>
      <w:r>
        <w:rPr>
          <w:rFonts w:ascii="Times New Roman" w:hAnsi="Times New Roman"/>
          <w:sz w:val="24"/>
          <w:lang w:val="en-US"/>
        </w:rPr>
        <w:t xml:space="preserve">LANDES, D. </w:t>
      </w:r>
      <w:r>
        <w:rPr>
          <w:rFonts w:ascii="Times New Roman" w:hAnsi="Times New Roman"/>
          <w:bCs/>
          <w:i/>
          <w:iCs/>
          <w:sz w:val="24"/>
          <w:lang w:val="en-US"/>
        </w:rPr>
        <w:t>The Unbound Prometheus</w:t>
      </w:r>
      <w:r>
        <w:rPr>
          <w:rFonts w:ascii="Times New Roman" w:hAnsi="Times New Roman"/>
          <w:bCs/>
          <w:sz w:val="24"/>
          <w:lang w:val="en-US"/>
        </w:rPr>
        <w:t xml:space="preserve">: technological change and industrial development in Western Europe from 1750 to the present. </w:t>
      </w:r>
      <w:r w:rsidRPr="009F1F35">
        <w:rPr>
          <w:rFonts w:ascii="Times New Roman" w:hAnsi="Times New Roman"/>
          <w:bCs/>
          <w:sz w:val="24"/>
          <w:lang w:val="en-US"/>
        </w:rPr>
        <w:t>Cambridge: Cambridge University Press, 1969.</w:t>
      </w:r>
    </w:p>
    <w:p w:rsidR="00B10D19" w:rsidRPr="001B195C" w:rsidRDefault="00B10D19" w:rsidP="00B10D19">
      <w:pPr>
        <w:spacing w:before="80" w:after="80" w:line="360" w:lineRule="auto"/>
        <w:ind w:left="520" w:hanging="520"/>
        <w:jc w:val="both"/>
      </w:pPr>
      <w:r w:rsidRPr="001B195C">
        <w:rPr>
          <w:lang w:val="en-US"/>
        </w:rPr>
        <w:t xml:space="preserve">LERNER, A. The concept of monopoly and the measurement of monopoly power. </w:t>
      </w:r>
      <w:r w:rsidRPr="009F1F35">
        <w:t xml:space="preserve">In: </w:t>
      </w:r>
      <w:r w:rsidRPr="009F1F35">
        <w:rPr>
          <w:i/>
        </w:rPr>
        <w:t>The Review of Economic Studies</w:t>
      </w:r>
      <w:r w:rsidRPr="009F1F35">
        <w:t xml:space="preserve">. </w:t>
      </w:r>
      <w:r w:rsidRPr="001B195C">
        <w:t>Vol I, n. 3, 1934.</w:t>
      </w:r>
    </w:p>
    <w:p w:rsidR="00B10D19" w:rsidRPr="009F1F35" w:rsidRDefault="00B10D19" w:rsidP="00B10D19">
      <w:pPr>
        <w:pStyle w:val="Lista"/>
        <w:spacing w:line="360" w:lineRule="auto"/>
        <w:jc w:val="both"/>
        <w:rPr>
          <w:rFonts w:ascii="Times New Roman" w:hAnsi="Times New Roman"/>
          <w:sz w:val="24"/>
        </w:rPr>
      </w:pPr>
      <w:r>
        <w:rPr>
          <w:rFonts w:ascii="Times New Roman" w:hAnsi="Times New Roman"/>
          <w:sz w:val="24"/>
        </w:rPr>
        <w:t xml:space="preserve">LESSA, C. </w:t>
      </w:r>
      <w:r>
        <w:rPr>
          <w:rFonts w:ascii="Times New Roman" w:hAnsi="Times New Roman"/>
          <w:i/>
          <w:iCs/>
          <w:sz w:val="24"/>
        </w:rPr>
        <w:t>Quinze Anos de Política Econômica</w:t>
      </w:r>
      <w:r>
        <w:rPr>
          <w:rFonts w:ascii="Times New Roman" w:hAnsi="Times New Roman"/>
          <w:sz w:val="24"/>
        </w:rPr>
        <w:t xml:space="preserve">. </w:t>
      </w:r>
      <w:r w:rsidRPr="009F1F35">
        <w:rPr>
          <w:rFonts w:ascii="Times New Roman" w:hAnsi="Times New Roman"/>
          <w:sz w:val="24"/>
        </w:rPr>
        <w:t>São Paulo: Editora Brasiliense, 1981.</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LINDER, S.B. </w:t>
      </w:r>
      <w:r>
        <w:rPr>
          <w:rFonts w:ascii="Times New Roman" w:hAnsi="Times New Roman"/>
          <w:i/>
          <w:sz w:val="24"/>
          <w:lang w:val="en-US"/>
        </w:rPr>
        <w:t>An Essay on Trade and Transformation</w:t>
      </w:r>
      <w:r>
        <w:rPr>
          <w:rFonts w:ascii="Times New Roman" w:hAnsi="Times New Roman"/>
          <w:sz w:val="24"/>
          <w:lang w:val="en-US"/>
        </w:rPr>
        <w:t>. New York: Wiley, 1961.</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lang w:val="en-US"/>
        </w:rPr>
        <w:t xml:space="preserve">LITTLE, I., SCITOVSKY, T., SCOTT, M. </w:t>
      </w:r>
      <w:r>
        <w:rPr>
          <w:rFonts w:ascii="Times New Roman" w:hAnsi="Times New Roman"/>
          <w:bCs/>
          <w:i/>
          <w:iCs/>
          <w:sz w:val="24"/>
          <w:lang w:val="en-US"/>
        </w:rPr>
        <w:t>Industry and Trade in Some Developing Countries</w:t>
      </w:r>
      <w:r>
        <w:rPr>
          <w:rFonts w:ascii="Times New Roman" w:hAnsi="Times New Roman"/>
          <w:bCs/>
          <w:sz w:val="24"/>
          <w:lang w:val="en-US"/>
        </w:rPr>
        <w:t xml:space="preserve">: a comparative study. </w:t>
      </w:r>
      <w:r>
        <w:rPr>
          <w:rFonts w:ascii="Times New Roman" w:hAnsi="Times New Roman"/>
          <w:sz w:val="24"/>
        </w:rPr>
        <w:t>London: Oxford University Press, 1970.</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MACHINEA, J. L., VERA, C. </w:t>
      </w:r>
      <w:r>
        <w:rPr>
          <w:rFonts w:ascii="Times New Roman" w:hAnsi="Times New Roman"/>
          <w:i/>
          <w:sz w:val="24"/>
        </w:rPr>
        <w:t>Comercio, Inversión Directa e Políticas Productivas</w:t>
      </w:r>
      <w:r>
        <w:rPr>
          <w:rFonts w:ascii="Times New Roman" w:hAnsi="Times New Roman"/>
          <w:sz w:val="24"/>
        </w:rPr>
        <w:t xml:space="preserve">. Serie Informes e Estúdios Especiales, n.16. Santiago de Chile: Comisión Económica para América Latina y el Caribe, 2006. </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MADDISON, A. </w:t>
      </w:r>
      <w:r>
        <w:rPr>
          <w:rFonts w:ascii="Times New Roman" w:hAnsi="Times New Roman"/>
          <w:i/>
          <w:iCs/>
          <w:sz w:val="24"/>
          <w:lang w:val="en-US"/>
        </w:rPr>
        <w:t>The World Economy</w:t>
      </w:r>
      <w:r>
        <w:rPr>
          <w:rFonts w:ascii="Times New Roman" w:hAnsi="Times New Roman"/>
          <w:sz w:val="24"/>
          <w:lang w:val="en-US"/>
        </w:rPr>
        <w:t>: a millennial perspective. Paris: OECD, 2001.</w:t>
      </w:r>
    </w:p>
    <w:p w:rsidR="00B10D19" w:rsidRDefault="00B10D19" w:rsidP="00B10D19">
      <w:pPr>
        <w:spacing w:before="80" w:after="80" w:line="360" w:lineRule="auto"/>
        <w:ind w:left="520" w:hanging="520"/>
        <w:jc w:val="both"/>
        <w:rPr>
          <w:szCs w:val="20"/>
        </w:rPr>
      </w:pPr>
      <w:r>
        <w:rPr>
          <w:szCs w:val="20"/>
          <w:lang w:val="en-US"/>
        </w:rPr>
        <w:t xml:space="preserve">MARGLIN, S.A., SCHOR, J.B (editors). </w:t>
      </w:r>
      <w:r>
        <w:rPr>
          <w:i/>
          <w:iCs/>
          <w:szCs w:val="20"/>
          <w:lang w:val="en-US"/>
        </w:rPr>
        <w:t>The Golden Age of Capitalism</w:t>
      </w:r>
      <w:r>
        <w:rPr>
          <w:szCs w:val="20"/>
          <w:lang w:val="en-US"/>
        </w:rPr>
        <w:t xml:space="preserve">: reinterpreting the postwar experience. </w:t>
      </w:r>
      <w:r>
        <w:rPr>
          <w:szCs w:val="20"/>
        </w:rPr>
        <w:t xml:space="preserve">Oxford University Press, 1990. </w:t>
      </w:r>
    </w:p>
    <w:p w:rsidR="00B10D19" w:rsidRPr="00721E80" w:rsidRDefault="00B10D19" w:rsidP="00B10D19">
      <w:pPr>
        <w:spacing w:before="80" w:after="80" w:line="360" w:lineRule="auto"/>
        <w:ind w:left="520" w:hanging="520"/>
        <w:jc w:val="both"/>
      </w:pPr>
      <w:r w:rsidRPr="00721E80">
        <w:t xml:space="preserve">MARSHALL, A. </w:t>
      </w:r>
      <w:r w:rsidRPr="00721E80">
        <w:rPr>
          <w:i/>
        </w:rPr>
        <w:t>Princípios de Economia</w:t>
      </w:r>
      <w:r w:rsidRPr="00721E80">
        <w:t>. São Paulo: Abril Cultural, 1982. (Os economistas).</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MARX, K. e ENGELS, F. </w:t>
      </w:r>
      <w:r>
        <w:rPr>
          <w:rFonts w:ascii="Times New Roman" w:hAnsi="Times New Roman"/>
          <w:i/>
          <w:iCs/>
          <w:sz w:val="24"/>
        </w:rPr>
        <w:t>A Revolução Espanhola</w:t>
      </w:r>
      <w:r>
        <w:rPr>
          <w:rFonts w:ascii="Times New Roman" w:hAnsi="Times New Roman"/>
          <w:sz w:val="24"/>
        </w:rPr>
        <w:t>: artigos e crônicas, 1854-1873. Rio de Janeiro: Editora Leitura S.A, 1966.</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rPr>
        <w:t xml:space="preserve">MARX, K. </w:t>
      </w:r>
      <w:r>
        <w:rPr>
          <w:rFonts w:ascii="Times New Roman" w:hAnsi="Times New Roman"/>
          <w:i/>
          <w:iCs/>
          <w:sz w:val="24"/>
        </w:rPr>
        <w:t>O Capital</w:t>
      </w:r>
      <w:r>
        <w:rPr>
          <w:rFonts w:ascii="Times New Roman" w:hAnsi="Times New Roman"/>
          <w:sz w:val="24"/>
        </w:rPr>
        <w:t xml:space="preserve">. Livro 1. São Paulo: Abril Cultural, 1983. </w:t>
      </w:r>
      <w:r>
        <w:rPr>
          <w:rFonts w:ascii="Times New Roman" w:hAnsi="Times New Roman"/>
          <w:sz w:val="24"/>
          <w:lang w:val="en-US"/>
        </w:rPr>
        <w:t>(Os Economistas)</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MATHIENSON, D. J; ROJAS-SUARES, L</w:t>
      </w:r>
      <w:r>
        <w:rPr>
          <w:rFonts w:ascii="Times New Roman" w:hAnsi="Times New Roman"/>
          <w:i/>
          <w:iCs/>
          <w:sz w:val="24"/>
          <w:lang w:val="en-US"/>
        </w:rPr>
        <w:t>. Liberalization of the Capital Account</w:t>
      </w:r>
      <w:r>
        <w:rPr>
          <w:rFonts w:ascii="Times New Roman" w:hAnsi="Times New Roman"/>
          <w:sz w:val="24"/>
          <w:lang w:val="en-US"/>
        </w:rPr>
        <w:t>: experiences and issues Washington, DC: International Monetary Fund, 1992 (IMF Working Paper n. 46).</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rPr>
        <w:lastRenderedPageBreak/>
        <w:t xml:space="preserve">MEDEIROS, C.; SERRANO, F. Inserção externa e desenvolvimento. </w:t>
      </w:r>
      <w:r>
        <w:rPr>
          <w:rFonts w:ascii="Times New Roman" w:hAnsi="Times New Roman"/>
          <w:caps/>
          <w:sz w:val="24"/>
        </w:rPr>
        <w:t>Fiori</w:t>
      </w:r>
      <w:r>
        <w:rPr>
          <w:rFonts w:ascii="Times New Roman" w:hAnsi="Times New Roman"/>
          <w:sz w:val="24"/>
        </w:rPr>
        <w:t xml:space="preserve">, J. L. (org.) Polarização mundial e crescimento. </w:t>
      </w:r>
      <w:r>
        <w:rPr>
          <w:rFonts w:ascii="Times New Roman" w:hAnsi="Times New Roman"/>
          <w:sz w:val="24"/>
          <w:lang w:val="en-US"/>
        </w:rPr>
        <w:t xml:space="preserve">Petrópolis: Editora Vozes, 2001. </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MEIER, G. M. The Formative Period. In MEIER, G. M, SEERS, D. (edit.). </w:t>
      </w:r>
      <w:r>
        <w:rPr>
          <w:rFonts w:ascii="Times New Roman" w:hAnsi="Times New Roman"/>
          <w:bCs/>
          <w:i/>
          <w:iCs/>
          <w:sz w:val="24"/>
          <w:lang w:val="en-US"/>
        </w:rPr>
        <w:t>Pioneers in Development</w:t>
      </w:r>
      <w:r>
        <w:rPr>
          <w:rFonts w:ascii="Times New Roman" w:hAnsi="Times New Roman"/>
          <w:bCs/>
          <w:sz w:val="24"/>
          <w:lang w:val="en-US"/>
        </w:rPr>
        <w:t>.</w:t>
      </w:r>
      <w:r>
        <w:rPr>
          <w:rFonts w:ascii="Times New Roman" w:hAnsi="Times New Roman"/>
          <w:b/>
          <w:sz w:val="24"/>
          <w:lang w:val="en-US"/>
        </w:rPr>
        <w:t xml:space="preserve"> </w:t>
      </w:r>
      <w:r>
        <w:rPr>
          <w:rFonts w:ascii="Times New Roman" w:hAnsi="Times New Roman"/>
          <w:sz w:val="24"/>
          <w:lang w:val="en-US"/>
        </w:rPr>
        <w:t>Oxford: Oxford University Press, 1984.</w:t>
      </w:r>
    </w:p>
    <w:p w:rsidR="00B10D19" w:rsidRDefault="00B10D19" w:rsidP="00B10D19">
      <w:pPr>
        <w:pStyle w:val="Lista"/>
        <w:spacing w:line="360" w:lineRule="auto"/>
        <w:jc w:val="both"/>
        <w:rPr>
          <w:rFonts w:ascii="Times New Roman" w:hAnsi="Times New Roman"/>
          <w:sz w:val="24"/>
        </w:rPr>
      </w:pPr>
      <w:r w:rsidRPr="009F1F35">
        <w:rPr>
          <w:rFonts w:ascii="Times New Roman" w:hAnsi="Times New Roman"/>
          <w:sz w:val="24"/>
          <w:lang w:val="en-US"/>
        </w:rPr>
        <w:t xml:space="preserve">MELLO, J. M. C, BELLUZZO, L. G. M. Reflexões Sobre a Crise Atual. </w:t>
      </w:r>
      <w:r>
        <w:rPr>
          <w:rFonts w:ascii="Times New Roman" w:hAnsi="Times New Roman"/>
          <w:i/>
          <w:iCs/>
          <w:sz w:val="24"/>
        </w:rPr>
        <w:t>Desenvolvimento Capitalista no Brasil</w:t>
      </w:r>
      <w:r>
        <w:rPr>
          <w:rFonts w:ascii="Times New Roman" w:hAnsi="Times New Roman"/>
          <w:sz w:val="24"/>
        </w:rPr>
        <w:t>: Ensaios Sobre a Crise (vol. I). São Paulo: Brasiliense, 1982.</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MELLO, J. M. C. Conseqüências do Neoliberalismo. Economia e Sociedade, n.1, agosto, p. 59-68, 1992.</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rPr>
        <w:t xml:space="preserve">MELLO, J.M.C. </w:t>
      </w:r>
      <w:r>
        <w:rPr>
          <w:rFonts w:ascii="Times New Roman" w:hAnsi="Times New Roman"/>
          <w:i/>
          <w:iCs/>
          <w:sz w:val="24"/>
        </w:rPr>
        <w:t>O Capitalismo Tardio</w:t>
      </w:r>
      <w:r>
        <w:rPr>
          <w:rFonts w:ascii="Times New Roman" w:hAnsi="Times New Roman"/>
          <w:sz w:val="24"/>
        </w:rPr>
        <w:t xml:space="preserve">. </w:t>
      </w:r>
      <w:r>
        <w:rPr>
          <w:rFonts w:ascii="Times New Roman" w:hAnsi="Times New Roman"/>
          <w:sz w:val="24"/>
          <w:lang w:val="en-US"/>
        </w:rPr>
        <w:t>São Paulo: Brasiliense, 1982.</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lang w:val="en-US"/>
        </w:rPr>
        <w:t xml:space="preserve">MISHKIN, F. </w:t>
      </w:r>
      <w:r>
        <w:rPr>
          <w:rFonts w:ascii="Times New Roman" w:hAnsi="Times New Roman"/>
          <w:i/>
          <w:iCs/>
          <w:sz w:val="24"/>
          <w:lang w:val="en-US"/>
        </w:rPr>
        <w:t>The Next Great Globalization</w:t>
      </w:r>
      <w:r>
        <w:rPr>
          <w:rFonts w:ascii="Times New Roman" w:hAnsi="Times New Roman"/>
          <w:sz w:val="24"/>
          <w:lang w:val="en-US"/>
        </w:rPr>
        <w:t xml:space="preserve">: how desadvantaged narions can harness their financial systems to get rich. </w:t>
      </w:r>
      <w:r>
        <w:rPr>
          <w:rFonts w:ascii="Times New Roman" w:hAnsi="Times New Roman"/>
          <w:sz w:val="24"/>
        </w:rPr>
        <w:t>Pinceton, New Jersey: Princeton University Press, 2006.</w:t>
      </w:r>
    </w:p>
    <w:p w:rsidR="00B10D19" w:rsidRPr="009F1F35" w:rsidRDefault="00B10D19" w:rsidP="00B10D19">
      <w:pPr>
        <w:pStyle w:val="Lista"/>
        <w:spacing w:line="360" w:lineRule="auto"/>
        <w:jc w:val="both"/>
        <w:rPr>
          <w:rFonts w:ascii="Times New Roman" w:hAnsi="Times New Roman"/>
          <w:sz w:val="24"/>
          <w:lang w:val="en-US"/>
        </w:rPr>
      </w:pPr>
      <w:r>
        <w:rPr>
          <w:rFonts w:ascii="Times New Roman" w:hAnsi="Times New Roman"/>
          <w:sz w:val="24"/>
        </w:rPr>
        <w:t xml:space="preserve">MOREIRA, M.M., CORREA, P.G. </w:t>
      </w:r>
      <w:r>
        <w:rPr>
          <w:rFonts w:ascii="Times New Roman" w:hAnsi="Times New Roman"/>
          <w:i/>
          <w:iCs/>
          <w:sz w:val="24"/>
        </w:rPr>
        <w:t>Abertura Comercial e Indústria</w:t>
      </w:r>
      <w:r>
        <w:rPr>
          <w:rFonts w:ascii="Times New Roman" w:hAnsi="Times New Roman"/>
          <w:sz w:val="24"/>
        </w:rPr>
        <w:t xml:space="preserve">: o que se pode esperar e o Que se Vem Obtendo. </w:t>
      </w:r>
      <w:r w:rsidRPr="009F1F35">
        <w:rPr>
          <w:rFonts w:ascii="Times New Roman" w:hAnsi="Times New Roman"/>
          <w:sz w:val="24"/>
          <w:lang w:val="en-US"/>
        </w:rPr>
        <w:t xml:space="preserve">Rio de Janeiro: BNDES, 1997. </w:t>
      </w:r>
    </w:p>
    <w:p w:rsidR="00B10D19" w:rsidRDefault="00B10D19" w:rsidP="00B10D19">
      <w:pPr>
        <w:spacing w:before="80" w:after="80" w:line="360" w:lineRule="auto"/>
        <w:ind w:left="520" w:hanging="520"/>
        <w:jc w:val="both"/>
      </w:pPr>
      <w:r w:rsidRPr="00C46218">
        <w:rPr>
          <w:lang w:val="en-US"/>
        </w:rPr>
        <w:t>MUTH, J. Rational Expectations and the Theory of Price Movements. In: LUCAS, R.</w:t>
      </w:r>
      <w:r>
        <w:rPr>
          <w:lang w:val="en-US"/>
        </w:rPr>
        <w:t>,</w:t>
      </w:r>
      <w:r w:rsidRPr="00C46218">
        <w:rPr>
          <w:lang w:val="en-US"/>
        </w:rPr>
        <w:t xml:space="preserve"> SARGENT, T. </w:t>
      </w:r>
      <w:r w:rsidRPr="00C46218">
        <w:rPr>
          <w:i/>
          <w:lang w:val="en-US"/>
        </w:rPr>
        <w:t>Rational Expectations and Econometric Practice</w:t>
      </w:r>
      <w:r w:rsidRPr="00C46218">
        <w:rPr>
          <w:lang w:val="en-US"/>
        </w:rPr>
        <w:t xml:space="preserve">. </w:t>
      </w:r>
      <w:r>
        <w:t>Minneapolis: University Minnesota Press, 1981.</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NABUCO, J. </w:t>
      </w:r>
      <w:r>
        <w:rPr>
          <w:rFonts w:ascii="Times New Roman" w:hAnsi="Times New Roman"/>
          <w:i/>
          <w:iCs/>
          <w:sz w:val="24"/>
        </w:rPr>
        <w:t>Um Estadista do Império</w:t>
      </w:r>
      <w:r>
        <w:rPr>
          <w:rFonts w:ascii="Times New Roman" w:hAnsi="Times New Roman"/>
          <w:sz w:val="24"/>
        </w:rPr>
        <w:t>. São Paulo: Instituto Progresso Editorial S.A, 1949.</w:t>
      </w:r>
    </w:p>
    <w:p w:rsidR="00B10D19" w:rsidRPr="00BD3A63" w:rsidRDefault="00B10D19" w:rsidP="00B10D19">
      <w:pPr>
        <w:spacing w:before="80" w:after="80" w:line="360" w:lineRule="auto"/>
        <w:ind w:left="520" w:hanging="520"/>
        <w:jc w:val="both"/>
        <w:rPr>
          <w:lang w:val="en-US"/>
        </w:rPr>
      </w:pPr>
      <w:r w:rsidRPr="00BD3A63">
        <w:rPr>
          <w:lang w:val="en-US"/>
        </w:rPr>
        <w:t xml:space="preserve">NASH, J. Equilibrium points in n-person games. </w:t>
      </w:r>
      <w:r w:rsidRPr="00BD3A63">
        <w:rPr>
          <w:i/>
          <w:lang w:val="en-US"/>
        </w:rPr>
        <w:t>Proceedings of the National Academy of Sciences USA</w:t>
      </w:r>
      <w:r w:rsidRPr="00BD3A63">
        <w:rPr>
          <w:lang w:val="en-US"/>
        </w:rPr>
        <w:t>. 36: p. 48</w:t>
      </w:r>
      <w:r>
        <w:rPr>
          <w:lang w:val="en-US"/>
        </w:rPr>
        <w:t>, 1950.</w:t>
      </w:r>
      <w:r w:rsidRPr="00BD3A63">
        <w:rPr>
          <w:lang w:val="en-US"/>
        </w:rPr>
        <w:t>.</w:t>
      </w:r>
    </w:p>
    <w:p w:rsidR="00B10D19" w:rsidRPr="00BD3A63" w:rsidRDefault="00B10D19" w:rsidP="00B10D19">
      <w:pPr>
        <w:spacing w:before="80" w:after="80" w:line="360" w:lineRule="auto"/>
        <w:ind w:left="520" w:hanging="520"/>
        <w:jc w:val="both"/>
        <w:rPr>
          <w:lang w:val="en-US"/>
        </w:rPr>
      </w:pPr>
      <w:r w:rsidRPr="00BD3A63">
        <w:rPr>
          <w:lang w:val="en-US"/>
        </w:rPr>
        <w:t xml:space="preserve">NASH, J. Non-cooperative games. </w:t>
      </w:r>
      <w:r w:rsidRPr="00BD3A63">
        <w:rPr>
          <w:i/>
          <w:lang w:val="en-US"/>
        </w:rPr>
        <w:t>Annals of Mathematics</w:t>
      </w:r>
      <w:r>
        <w:rPr>
          <w:lang w:val="en-US"/>
        </w:rPr>
        <w:t>,</w:t>
      </w:r>
      <w:r w:rsidRPr="00BD3A63">
        <w:rPr>
          <w:lang w:val="en-US"/>
        </w:rPr>
        <w:t xml:space="preserve"> 54: p. 286</w:t>
      </w:r>
      <w:r>
        <w:rPr>
          <w:lang w:val="en-US"/>
        </w:rPr>
        <w:t>, 1951</w:t>
      </w:r>
      <w:r w:rsidRPr="00BD3A63">
        <w:rPr>
          <w:lang w:val="en-US"/>
        </w:rPr>
        <w:t>.</w:t>
      </w:r>
    </w:p>
    <w:p w:rsidR="00B10D19" w:rsidRPr="009F1F35" w:rsidRDefault="00B10D19" w:rsidP="00B10D19">
      <w:pPr>
        <w:spacing w:before="80" w:after="80" w:line="360" w:lineRule="auto"/>
        <w:ind w:left="520" w:hanging="520"/>
        <w:jc w:val="both"/>
      </w:pPr>
      <w:r w:rsidRPr="00BD3A63">
        <w:rPr>
          <w:lang w:val="en-US"/>
        </w:rPr>
        <w:t>NEUMANN, J. V</w:t>
      </w:r>
      <w:r>
        <w:rPr>
          <w:lang w:val="en-US"/>
        </w:rPr>
        <w:t>.,</w:t>
      </w:r>
      <w:r w:rsidRPr="00BD3A63">
        <w:rPr>
          <w:lang w:val="en-US"/>
        </w:rPr>
        <w:t xml:space="preserve"> MORGENSTERN, O.</w:t>
      </w:r>
      <w:r>
        <w:rPr>
          <w:lang w:val="en-US"/>
        </w:rPr>
        <w:t xml:space="preserve"> </w:t>
      </w:r>
      <w:r w:rsidRPr="00BD3A63">
        <w:rPr>
          <w:i/>
          <w:lang w:val="en-US"/>
        </w:rPr>
        <w:t>Theory of Games and Economic Behavior</w:t>
      </w:r>
      <w:r w:rsidRPr="00BD3A63">
        <w:rPr>
          <w:lang w:val="en-US"/>
        </w:rPr>
        <w:t xml:space="preserve">. </w:t>
      </w:r>
      <w:r w:rsidRPr="009F1F35">
        <w:t>Princeton: Princeton University Press, 1990.</w:t>
      </w:r>
    </w:p>
    <w:p w:rsidR="00B10D19" w:rsidRPr="00721E80" w:rsidRDefault="00B10D19" w:rsidP="00B10D19">
      <w:pPr>
        <w:pStyle w:val="Lista"/>
        <w:spacing w:line="360" w:lineRule="auto"/>
        <w:jc w:val="both"/>
        <w:rPr>
          <w:rFonts w:ascii="Times New Roman" w:hAnsi="Times New Roman"/>
          <w:sz w:val="24"/>
        </w:rPr>
      </w:pPr>
      <w:r w:rsidRPr="00721E80">
        <w:rPr>
          <w:rFonts w:ascii="Times New Roman" w:hAnsi="Times New Roman"/>
          <w:sz w:val="24"/>
        </w:rPr>
        <w:t>NISHIJIMA, M. Fluxos de comércio no Brasil e seus determinantes básicos – uma análise de co-integração. Universidade de Campinas, Instituto de Economia, 1998 (Dissertação de Mestrado).</w:t>
      </w:r>
    </w:p>
    <w:p w:rsidR="00B10D19" w:rsidRPr="009F1F35" w:rsidRDefault="00B10D19" w:rsidP="00B10D19">
      <w:pPr>
        <w:pStyle w:val="Lista"/>
        <w:spacing w:line="360" w:lineRule="auto"/>
        <w:ind w:left="284" w:hanging="284"/>
        <w:rPr>
          <w:rFonts w:ascii="Times New Roman" w:hAnsi="Times New Roman"/>
          <w:sz w:val="24"/>
          <w:lang w:val="en-US"/>
        </w:rPr>
      </w:pPr>
      <w:r w:rsidRPr="009F1F35">
        <w:rPr>
          <w:rFonts w:ascii="Times New Roman" w:hAnsi="Times New Roman"/>
          <w:sz w:val="24"/>
        </w:rPr>
        <w:t xml:space="preserve">NORDHAUS, W. Theory of Innovation: an Economic Theory of Technological Change. </w:t>
      </w:r>
      <w:r w:rsidRPr="009F1F35">
        <w:rPr>
          <w:rFonts w:ascii="Times New Roman" w:hAnsi="Times New Roman"/>
          <w:bCs/>
          <w:i/>
          <w:iCs/>
          <w:sz w:val="24"/>
          <w:lang w:val="en-US"/>
        </w:rPr>
        <w:t>The American Economic Review</w:t>
      </w:r>
      <w:r w:rsidRPr="009F1F35">
        <w:rPr>
          <w:rFonts w:ascii="Times New Roman" w:hAnsi="Times New Roman"/>
          <w:sz w:val="24"/>
          <w:lang w:val="en-US"/>
        </w:rPr>
        <w:t>, v. LIX, n.2, may, p.18 – 28, 1969.</w:t>
      </w:r>
    </w:p>
    <w:p w:rsidR="00B10D19" w:rsidRPr="009F1F35" w:rsidRDefault="00B10D19" w:rsidP="00B10D19">
      <w:pPr>
        <w:spacing w:before="80" w:after="80" w:line="360" w:lineRule="auto"/>
        <w:ind w:left="520" w:hanging="520"/>
        <w:jc w:val="both"/>
      </w:pPr>
      <w:r w:rsidRPr="00BD3A63">
        <w:rPr>
          <w:lang w:val="en-US"/>
        </w:rPr>
        <w:t xml:space="preserve">NORTH, D. C. </w:t>
      </w:r>
      <w:r w:rsidRPr="00BD3A63">
        <w:rPr>
          <w:i/>
          <w:lang w:val="en-US"/>
        </w:rPr>
        <w:t>Institutions, Institutional Change and Economic Performance</w:t>
      </w:r>
      <w:r w:rsidRPr="00BD3A63">
        <w:rPr>
          <w:lang w:val="en-US"/>
        </w:rPr>
        <w:t xml:space="preserve">. </w:t>
      </w:r>
      <w:r w:rsidRPr="009F1F35">
        <w:t>New York: Cambridge University Press, 1990.</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lastRenderedPageBreak/>
        <w:t xml:space="preserve">NOVAIS, F. </w:t>
      </w:r>
      <w:r>
        <w:rPr>
          <w:rFonts w:ascii="Times New Roman" w:hAnsi="Times New Roman"/>
          <w:i/>
          <w:iCs/>
          <w:sz w:val="24"/>
        </w:rPr>
        <w:t>Portugal e Brasil na Crise do Antigo Sistema Colonial</w:t>
      </w:r>
      <w:r>
        <w:rPr>
          <w:rFonts w:ascii="Times New Roman" w:hAnsi="Times New Roman"/>
          <w:sz w:val="24"/>
        </w:rPr>
        <w:t>, 1777/1808. São Paulo: Hucitec, 1981.</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NOVAIS. L.F. </w:t>
      </w:r>
      <w:r>
        <w:rPr>
          <w:rFonts w:ascii="Times New Roman" w:hAnsi="Times New Roman"/>
          <w:i/>
          <w:iCs/>
          <w:sz w:val="24"/>
        </w:rPr>
        <w:t>A Trajetória da Grande Empresa Privada e Pública</w:t>
      </w:r>
      <w:r>
        <w:rPr>
          <w:rFonts w:ascii="Times New Roman" w:hAnsi="Times New Roman"/>
          <w:sz w:val="24"/>
        </w:rPr>
        <w:t xml:space="preserve">: 1978–1987. IESP/FUNDAP, 1988. </w:t>
      </w:r>
    </w:p>
    <w:p w:rsidR="00B10D19" w:rsidRPr="00721E80" w:rsidRDefault="00B10D19" w:rsidP="00B10D19">
      <w:pPr>
        <w:pStyle w:val="Lista"/>
        <w:spacing w:line="360" w:lineRule="auto"/>
        <w:jc w:val="both"/>
        <w:rPr>
          <w:rFonts w:ascii="Times New Roman" w:hAnsi="Times New Roman"/>
          <w:sz w:val="24"/>
          <w:lang w:val="en-US"/>
        </w:rPr>
      </w:pPr>
      <w:r w:rsidRPr="00721E80">
        <w:rPr>
          <w:rFonts w:ascii="Times New Roman" w:hAnsi="Times New Roman"/>
          <w:sz w:val="24"/>
        </w:rPr>
        <w:t xml:space="preserve">NUNES, J. M. M. Balança comercial e taxa de câmbio real: uma análise de cointegraçao, Revista da Economia Política, v.14, n.1 (53), Jan-mar. </w:t>
      </w:r>
      <w:r w:rsidRPr="00721E80">
        <w:rPr>
          <w:rFonts w:ascii="Times New Roman" w:hAnsi="Times New Roman"/>
          <w:sz w:val="24"/>
          <w:lang w:val="en-US"/>
        </w:rPr>
        <w:t xml:space="preserve">1994. </w:t>
      </w:r>
    </w:p>
    <w:p w:rsidR="00B10D19" w:rsidRDefault="00B10D19" w:rsidP="00B10D19">
      <w:pPr>
        <w:pStyle w:val="Lista"/>
        <w:spacing w:line="360" w:lineRule="auto"/>
        <w:jc w:val="both"/>
        <w:rPr>
          <w:rFonts w:ascii="Times New Roman" w:hAnsi="Times New Roman"/>
          <w:sz w:val="24"/>
          <w:lang w:val="en-US"/>
        </w:rPr>
      </w:pPr>
      <w:r w:rsidRPr="00721E80">
        <w:rPr>
          <w:rFonts w:ascii="Times New Roman" w:hAnsi="Times New Roman"/>
          <w:sz w:val="24"/>
          <w:lang w:val="en-US"/>
        </w:rPr>
        <w:t xml:space="preserve">NURKSE, R. </w:t>
      </w:r>
      <w:r w:rsidRPr="00721E80">
        <w:rPr>
          <w:rFonts w:ascii="Times New Roman" w:hAnsi="Times New Roman"/>
          <w:bCs/>
          <w:i/>
          <w:iCs/>
          <w:sz w:val="24"/>
          <w:lang w:val="en-US"/>
        </w:rPr>
        <w:t>Problems of Capital Formation in Underdevelopment Countries</w:t>
      </w:r>
      <w:r w:rsidRPr="00721E80">
        <w:rPr>
          <w:rFonts w:ascii="Times New Roman" w:hAnsi="Times New Roman"/>
          <w:bCs/>
          <w:sz w:val="24"/>
          <w:lang w:val="en-US"/>
        </w:rPr>
        <w:t>.</w:t>
      </w:r>
      <w:r w:rsidRPr="00721E80">
        <w:rPr>
          <w:rFonts w:ascii="Times New Roman" w:hAnsi="Times New Roman"/>
          <w:b/>
          <w:sz w:val="24"/>
          <w:lang w:val="en-US"/>
        </w:rPr>
        <w:t xml:space="preserve"> </w:t>
      </w:r>
      <w:r w:rsidRPr="00721E80">
        <w:rPr>
          <w:rFonts w:ascii="Times New Roman" w:hAnsi="Times New Roman"/>
          <w:sz w:val="24"/>
          <w:lang w:val="en-US"/>
        </w:rPr>
        <w:t>Oxford:</w:t>
      </w:r>
      <w:r>
        <w:rPr>
          <w:rFonts w:ascii="Times New Roman" w:hAnsi="Times New Roman"/>
          <w:sz w:val="24"/>
          <w:lang w:val="en-US"/>
        </w:rPr>
        <w:t xml:space="preserve"> Blackwell, 1953.</w:t>
      </w:r>
    </w:p>
    <w:p w:rsidR="00B10D19" w:rsidRPr="009F1F35"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OECD. </w:t>
      </w:r>
      <w:r>
        <w:rPr>
          <w:rFonts w:ascii="Times New Roman" w:hAnsi="Times New Roman"/>
          <w:i/>
          <w:sz w:val="24"/>
          <w:lang w:val="en-US"/>
        </w:rPr>
        <w:t>Foreign Direct Investment for Development</w:t>
      </w:r>
      <w:r>
        <w:rPr>
          <w:rFonts w:ascii="Times New Roman" w:hAnsi="Times New Roman"/>
          <w:sz w:val="24"/>
          <w:lang w:val="en-US"/>
        </w:rPr>
        <w:t xml:space="preserve">: maximising benefits, minimising costs. </w:t>
      </w:r>
      <w:r w:rsidRPr="009F1F35">
        <w:rPr>
          <w:rFonts w:ascii="Times New Roman" w:hAnsi="Times New Roman"/>
          <w:sz w:val="24"/>
          <w:lang w:val="en-US"/>
        </w:rPr>
        <w:t>Organisation for Economic Co-operation and Development, 2002.</w:t>
      </w:r>
    </w:p>
    <w:p w:rsidR="00B10D19" w:rsidRDefault="00B10D19" w:rsidP="00B10D19">
      <w:pPr>
        <w:spacing w:before="80" w:after="80" w:line="360" w:lineRule="auto"/>
        <w:ind w:left="520" w:hanging="520"/>
        <w:jc w:val="both"/>
        <w:rPr>
          <w:lang w:val="en-US"/>
        </w:rPr>
      </w:pPr>
      <w:r>
        <w:rPr>
          <w:lang w:val="en-US"/>
        </w:rPr>
        <w:t xml:space="preserve">OECD. </w:t>
      </w:r>
      <w:r>
        <w:rPr>
          <w:i/>
          <w:lang w:val="en-US"/>
        </w:rPr>
        <w:t>OECD Economic Survey</w:t>
      </w:r>
      <w:r>
        <w:rPr>
          <w:lang w:val="en-US"/>
        </w:rPr>
        <w:t>: Brazil 2000 – 2001. Geneva: Organisation for Economic Cooperation and Development, 2001.</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OLIVEIRA, F. A. </w:t>
      </w:r>
      <w:r>
        <w:rPr>
          <w:rFonts w:ascii="Times New Roman" w:hAnsi="Times New Roman"/>
          <w:i/>
          <w:iCs/>
          <w:sz w:val="24"/>
        </w:rPr>
        <w:t>A Reforma Tributária de 1966 e a Acumulação de Capital no Brasil</w:t>
      </w:r>
      <w:r>
        <w:rPr>
          <w:rFonts w:ascii="Times New Roman" w:hAnsi="Times New Roman"/>
          <w:sz w:val="24"/>
        </w:rPr>
        <w:t xml:space="preserve">. Belo Horizonte: Ed. Oficina de Livros, 1991. </w:t>
      </w:r>
    </w:p>
    <w:p w:rsidR="00B10D19" w:rsidRPr="001B195C" w:rsidRDefault="00B10D19" w:rsidP="00B10D19">
      <w:pPr>
        <w:spacing w:before="80" w:after="80" w:line="360" w:lineRule="auto"/>
        <w:ind w:left="520" w:hanging="520"/>
        <w:jc w:val="both"/>
        <w:rPr>
          <w:lang w:val="es-ES_tradnl"/>
        </w:rPr>
      </w:pPr>
      <w:r w:rsidRPr="001B195C">
        <w:t xml:space="preserve">PAIVA, C. A. A flexibilidade da rigidez de preços em Kalecki e o projeto de fundação heterodoxo-racionalista da Macroeconomia. In: LIMA, G.T. et. al. (orgs). </w:t>
      </w:r>
      <w:r w:rsidRPr="001B195C">
        <w:rPr>
          <w:i/>
        </w:rPr>
        <w:t>Dinâmica Econômica do Capitalismo Contemporâneo</w:t>
      </w:r>
      <w:r w:rsidRPr="001B195C">
        <w:t xml:space="preserve">: homenagem a Michal Kalecki. </w:t>
      </w:r>
      <w:r w:rsidRPr="001B195C">
        <w:rPr>
          <w:lang w:val="es-ES_tradnl"/>
        </w:rPr>
        <w:t>São Paulo: Edusp, 2001.</w:t>
      </w:r>
    </w:p>
    <w:p w:rsidR="00B10D19" w:rsidRPr="00721E80" w:rsidRDefault="00B10D19" w:rsidP="00B10D19">
      <w:pPr>
        <w:spacing w:before="80" w:after="80" w:line="360" w:lineRule="auto"/>
        <w:ind w:left="520" w:hanging="520"/>
        <w:jc w:val="both"/>
      </w:pPr>
      <w:r w:rsidRPr="00721E80">
        <w:t xml:space="preserve">PAIVA, C. A. </w:t>
      </w:r>
      <w:r w:rsidRPr="00721E80">
        <w:rPr>
          <w:i/>
        </w:rPr>
        <w:t>Valor, Preços e Distribuição</w:t>
      </w:r>
      <w:r w:rsidRPr="00721E80">
        <w:t>: de Ricardo a Marx, de Marx a nós. Campinas: Instituto de Economia da Unicamp , 1998(Tese de Doutorado)</w:t>
      </w:r>
    </w:p>
    <w:p w:rsidR="00B10D19" w:rsidRPr="001B195C" w:rsidRDefault="00B10D19" w:rsidP="00B10D19">
      <w:pPr>
        <w:spacing w:before="80" w:after="80" w:line="360" w:lineRule="auto"/>
        <w:ind w:left="520" w:hanging="520"/>
        <w:jc w:val="both"/>
      </w:pPr>
      <w:r w:rsidRPr="001B195C">
        <w:t xml:space="preserve">PAIVA, C.A. Kalecki: um anti-keynesiano? </w:t>
      </w:r>
      <w:r w:rsidRPr="001B195C">
        <w:rPr>
          <w:i/>
        </w:rPr>
        <w:t>Revista de Economia Política</w:t>
      </w:r>
      <w:r>
        <w:rPr>
          <w:i/>
        </w:rPr>
        <w:t>,</w:t>
      </w:r>
      <w:r w:rsidRPr="001B195C">
        <w:t xml:space="preserve"> Vol. 16, N. 1 (61) janeiro-março. São Paulo: Brasiliense</w:t>
      </w:r>
      <w:r>
        <w:t>, 1996</w:t>
      </w:r>
      <w:r w:rsidRPr="001B195C">
        <w:t>.</w:t>
      </w:r>
    </w:p>
    <w:p w:rsidR="00B10D19" w:rsidRPr="00721E80" w:rsidRDefault="00B10D19" w:rsidP="00B10D19">
      <w:pPr>
        <w:pStyle w:val="Lista"/>
        <w:spacing w:line="360" w:lineRule="auto"/>
        <w:jc w:val="both"/>
        <w:rPr>
          <w:rFonts w:ascii="Times New Roman" w:hAnsi="Times New Roman"/>
          <w:sz w:val="24"/>
        </w:rPr>
      </w:pPr>
      <w:r w:rsidRPr="00721E80">
        <w:rPr>
          <w:rFonts w:ascii="Times New Roman" w:hAnsi="Times New Roman"/>
          <w:sz w:val="24"/>
        </w:rPr>
        <w:t xml:space="preserve">PASTORE, A; BLUM, B.S; PINOTTI, M.C. Paridade poder de compra e saldos comerciais, São Paulo, 1997 (Trabalho não-publicado). </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PAULANI, L. M., BRAGA, M. B. </w:t>
      </w:r>
      <w:r>
        <w:rPr>
          <w:rFonts w:ascii="Times New Roman" w:hAnsi="Times New Roman"/>
          <w:i/>
          <w:iCs/>
          <w:sz w:val="24"/>
        </w:rPr>
        <w:t>A Nova Contabilidade Social</w:t>
      </w:r>
      <w:r>
        <w:rPr>
          <w:rFonts w:ascii="Times New Roman" w:hAnsi="Times New Roman"/>
          <w:sz w:val="24"/>
        </w:rPr>
        <w:t>: uma introdução à macroeconomia, 2a ed. São Paulo: Editora Saraiva, 2006.</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PELÁEZ, C. M. A Balança Comercial, A Grande Depressão e a Industrialização Brasileira. </w:t>
      </w:r>
      <w:r>
        <w:rPr>
          <w:rFonts w:ascii="Times New Roman" w:hAnsi="Times New Roman"/>
          <w:i/>
          <w:iCs/>
          <w:sz w:val="24"/>
        </w:rPr>
        <w:t>Revista Brasileira de Economia</w:t>
      </w:r>
      <w:r>
        <w:rPr>
          <w:rFonts w:ascii="Times New Roman" w:hAnsi="Times New Roman"/>
          <w:sz w:val="24"/>
        </w:rPr>
        <w:t>, ano XXII, n.1, março, p.15 – 47, 1968.</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POLANYI, K. </w:t>
      </w:r>
      <w:r>
        <w:rPr>
          <w:rFonts w:ascii="Times New Roman" w:hAnsi="Times New Roman"/>
          <w:i/>
          <w:iCs/>
          <w:sz w:val="24"/>
        </w:rPr>
        <w:t>The Great Transformation</w:t>
      </w:r>
      <w:r>
        <w:rPr>
          <w:rFonts w:ascii="Times New Roman" w:hAnsi="Times New Roman"/>
          <w:sz w:val="24"/>
        </w:rPr>
        <w:t>, 1944 (tradução para o português da Editora Elsevier, 9ª ed., 2000).</w:t>
      </w:r>
    </w:p>
    <w:p w:rsidR="00B10D19" w:rsidRPr="00BD3A63" w:rsidRDefault="00B10D19" w:rsidP="00B10D19">
      <w:pPr>
        <w:spacing w:before="80" w:after="80" w:line="360" w:lineRule="auto"/>
        <w:ind w:left="520" w:hanging="520"/>
        <w:jc w:val="both"/>
        <w:rPr>
          <w:lang w:val="en-US"/>
        </w:rPr>
      </w:pPr>
      <w:r w:rsidRPr="00BD3A63">
        <w:rPr>
          <w:lang w:val="en-US"/>
        </w:rPr>
        <w:t xml:space="preserve">POUNDSTONE, W. </w:t>
      </w:r>
      <w:r w:rsidRPr="00BD3A63">
        <w:rPr>
          <w:i/>
          <w:lang w:val="en-US"/>
        </w:rPr>
        <w:t>Prisoner’s Dilemma</w:t>
      </w:r>
      <w:r w:rsidRPr="00BD3A63">
        <w:rPr>
          <w:lang w:val="en-US"/>
        </w:rPr>
        <w:t>. Oxford: Oxford University Press</w:t>
      </w:r>
      <w:r>
        <w:rPr>
          <w:lang w:val="en-US"/>
        </w:rPr>
        <w:t>, 1993</w:t>
      </w:r>
      <w:r w:rsidRPr="00BD3A63">
        <w:rPr>
          <w:lang w:val="en-US"/>
        </w:rPr>
        <w:t>.</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lastRenderedPageBreak/>
        <w:t xml:space="preserve">PRADO JR, C. </w:t>
      </w:r>
      <w:r>
        <w:rPr>
          <w:rFonts w:ascii="Times New Roman" w:hAnsi="Times New Roman"/>
          <w:i/>
          <w:iCs/>
          <w:sz w:val="24"/>
        </w:rPr>
        <w:t>Evolução Política do Brasil e Outros Estudos</w:t>
      </w:r>
      <w:r>
        <w:rPr>
          <w:rFonts w:ascii="Times New Roman" w:hAnsi="Times New Roman"/>
          <w:sz w:val="24"/>
        </w:rPr>
        <w:t>. São Paulo: Brasiliense, 1972.</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rPr>
        <w:t xml:space="preserve">PRADO JR, C. </w:t>
      </w:r>
      <w:r>
        <w:rPr>
          <w:rFonts w:ascii="Times New Roman" w:hAnsi="Times New Roman"/>
          <w:i/>
          <w:iCs/>
          <w:sz w:val="24"/>
        </w:rPr>
        <w:t>Formação do Brasil Contemporâneo</w:t>
      </w:r>
      <w:r>
        <w:rPr>
          <w:rFonts w:ascii="Times New Roman" w:hAnsi="Times New Roman"/>
          <w:sz w:val="24"/>
        </w:rPr>
        <w:t xml:space="preserve">.  </w:t>
      </w:r>
      <w:r>
        <w:rPr>
          <w:rFonts w:ascii="Times New Roman" w:hAnsi="Times New Roman"/>
          <w:sz w:val="24"/>
          <w:lang w:val="en-US"/>
        </w:rPr>
        <w:t xml:space="preserve">São Paulo: Martins, 1942. </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lang w:val="en-US"/>
        </w:rPr>
        <w:t xml:space="preserve">PRASAD, E., ROGOFF, K., WEI, S., KOSE, M.A. </w:t>
      </w:r>
      <w:r>
        <w:rPr>
          <w:rFonts w:ascii="Times New Roman" w:hAnsi="Times New Roman"/>
          <w:i/>
          <w:iCs/>
          <w:sz w:val="24"/>
          <w:lang w:val="en-US"/>
        </w:rPr>
        <w:t>Effects of Financial Globalization on Developing Countries</w:t>
      </w:r>
      <w:r>
        <w:rPr>
          <w:rFonts w:ascii="Times New Roman" w:hAnsi="Times New Roman"/>
          <w:sz w:val="24"/>
          <w:lang w:val="en-US"/>
        </w:rPr>
        <w:t xml:space="preserve">: some empirical evidence. </w:t>
      </w:r>
      <w:r>
        <w:rPr>
          <w:rFonts w:ascii="Times New Roman" w:hAnsi="Times New Roman"/>
          <w:sz w:val="24"/>
        </w:rPr>
        <w:t>Washington, DC: International Monetary Fund, 2003.</w:t>
      </w:r>
    </w:p>
    <w:p w:rsidR="00B10D19" w:rsidRPr="00721E80" w:rsidRDefault="00B10D19" w:rsidP="00B10D19">
      <w:pPr>
        <w:pStyle w:val="Lista"/>
        <w:spacing w:line="360" w:lineRule="auto"/>
        <w:jc w:val="both"/>
        <w:rPr>
          <w:rFonts w:ascii="Times New Roman" w:hAnsi="Times New Roman"/>
          <w:sz w:val="24"/>
        </w:rPr>
      </w:pPr>
      <w:r w:rsidRPr="00721E80">
        <w:rPr>
          <w:rFonts w:ascii="Times New Roman" w:hAnsi="Times New Roman"/>
          <w:sz w:val="24"/>
        </w:rPr>
        <w:t xml:space="preserve">PRATES, D. </w:t>
      </w:r>
      <w:r w:rsidRPr="00721E80">
        <w:rPr>
          <w:rFonts w:ascii="Times New Roman" w:hAnsi="Times New Roman"/>
          <w:i/>
          <w:iCs/>
          <w:sz w:val="24"/>
        </w:rPr>
        <w:t>Crises Financeiras dos Países “Emergentes”</w:t>
      </w:r>
      <w:r w:rsidRPr="00721E80">
        <w:rPr>
          <w:rFonts w:ascii="Times New Roman" w:hAnsi="Times New Roman"/>
          <w:sz w:val="24"/>
        </w:rPr>
        <w:t>: uma explicação heterodoxa. Campinas, SP: Instituto de Economia. (tese de doutoramento), 2003.</w:t>
      </w:r>
    </w:p>
    <w:p w:rsidR="00B10D19" w:rsidRPr="00721E80" w:rsidRDefault="00B10D19" w:rsidP="00B10D19">
      <w:pPr>
        <w:pStyle w:val="Lista"/>
        <w:spacing w:line="360" w:lineRule="auto"/>
        <w:jc w:val="both"/>
        <w:rPr>
          <w:rFonts w:ascii="Times New Roman" w:hAnsi="Times New Roman"/>
          <w:sz w:val="24"/>
        </w:rPr>
      </w:pPr>
      <w:r w:rsidRPr="00721E80">
        <w:rPr>
          <w:rFonts w:ascii="Times New Roman" w:hAnsi="Times New Roman"/>
          <w:sz w:val="24"/>
        </w:rPr>
        <w:t>PRATES, D. M. As assimetrias do sistema monetário e financeiro internacional. Revista de Economia Contemporânea, vol. 9, fascículo 2, pp. 263- 288, Rio de Janeiro, 2005.</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PREBISCH, R. </w:t>
      </w:r>
      <w:r>
        <w:rPr>
          <w:rFonts w:ascii="Times New Roman" w:hAnsi="Times New Roman"/>
          <w:bCs/>
          <w:i/>
          <w:iCs/>
          <w:sz w:val="24"/>
          <w:lang w:val="en-US"/>
        </w:rPr>
        <w:t>Economic Survey of Latin America, 1949</w:t>
      </w:r>
      <w:r>
        <w:rPr>
          <w:rFonts w:ascii="Times New Roman" w:hAnsi="Times New Roman"/>
          <w:bCs/>
          <w:sz w:val="24"/>
          <w:lang w:val="en-US"/>
        </w:rPr>
        <w:t>.</w:t>
      </w:r>
      <w:r>
        <w:rPr>
          <w:rFonts w:ascii="Times New Roman" w:hAnsi="Times New Roman"/>
          <w:b/>
          <w:sz w:val="24"/>
          <w:lang w:val="en-US"/>
        </w:rPr>
        <w:t xml:space="preserve"> </w:t>
      </w:r>
      <w:r>
        <w:rPr>
          <w:rFonts w:ascii="Times New Roman" w:hAnsi="Times New Roman"/>
          <w:sz w:val="24"/>
          <w:lang w:val="en-US"/>
        </w:rPr>
        <w:t>New York: United Nations, 1950.</w:t>
      </w:r>
    </w:p>
    <w:p w:rsidR="00B10D19" w:rsidRPr="009F1F35" w:rsidRDefault="00B10D19" w:rsidP="00B10D19">
      <w:pPr>
        <w:pStyle w:val="Lista"/>
        <w:spacing w:line="360" w:lineRule="auto"/>
        <w:jc w:val="both"/>
        <w:rPr>
          <w:rFonts w:ascii="Times New Roman" w:hAnsi="Times New Roman"/>
          <w:sz w:val="24"/>
        </w:rPr>
      </w:pPr>
      <w:r>
        <w:rPr>
          <w:rFonts w:ascii="Times New Roman" w:hAnsi="Times New Roman"/>
          <w:sz w:val="24"/>
          <w:lang w:val="en-US"/>
        </w:rPr>
        <w:t xml:space="preserve">PREBISCH, R. Five Stages in My Thinking on Development. In MEIER, G. M, SEERS, D. (edit.). </w:t>
      </w:r>
      <w:r w:rsidRPr="009F1F35">
        <w:rPr>
          <w:rFonts w:ascii="Times New Roman" w:hAnsi="Times New Roman"/>
          <w:bCs/>
          <w:i/>
          <w:iCs/>
          <w:sz w:val="24"/>
        </w:rPr>
        <w:t>Pioneers in Development</w:t>
      </w:r>
      <w:r w:rsidRPr="009F1F35">
        <w:rPr>
          <w:rFonts w:ascii="Times New Roman" w:hAnsi="Times New Roman"/>
          <w:bCs/>
          <w:sz w:val="24"/>
        </w:rPr>
        <w:t>.</w:t>
      </w:r>
      <w:r w:rsidRPr="009F1F35">
        <w:rPr>
          <w:rFonts w:ascii="Times New Roman" w:hAnsi="Times New Roman"/>
          <w:b/>
          <w:sz w:val="24"/>
        </w:rPr>
        <w:t xml:space="preserve"> </w:t>
      </w:r>
      <w:r w:rsidRPr="009F1F35">
        <w:rPr>
          <w:rFonts w:ascii="Times New Roman" w:hAnsi="Times New Roman"/>
          <w:sz w:val="24"/>
        </w:rPr>
        <w:t>Oxford: Oxford University Press, 1984.</w:t>
      </w:r>
    </w:p>
    <w:p w:rsidR="00B10D19" w:rsidRPr="00B10D19" w:rsidRDefault="00B10D19" w:rsidP="00B10D19">
      <w:pPr>
        <w:spacing w:before="80" w:after="80" w:line="360" w:lineRule="auto"/>
        <w:ind w:left="520" w:hanging="520"/>
        <w:jc w:val="both"/>
        <w:rPr>
          <w:lang w:val="en-US"/>
        </w:rPr>
      </w:pPr>
      <w:r w:rsidRPr="00BD3A63">
        <w:t xml:space="preserve">PUTNAM, R. </w:t>
      </w:r>
      <w:r w:rsidRPr="00BD3A63">
        <w:rPr>
          <w:i/>
        </w:rPr>
        <w:t>Comunidade e Democracia</w:t>
      </w:r>
      <w:r w:rsidRPr="00BD3A63">
        <w:t xml:space="preserve">: a experiência da Itália moderna. </w:t>
      </w:r>
      <w:r w:rsidRPr="00B10D19">
        <w:rPr>
          <w:lang w:val="en-US"/>
        </w:rPr>
        <w:t>São Paulo: FGV, 1996.</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RADALET, S., SACHS, J. D. The Onset of the East Asian Financial Crisis. NBER Working Paper 6680. Cambridge, MA: National Bureau of Economic Research, 1998.</w:t>
      </w:r>
    </w:p>
    <w:p w:rsidR="00B10D19" w:rsidRPr="00721E80" w:rsidRDefault="00B10D19" w:rsidP="00B10D19">
      <w:pPr>
        <w:spacing w:before="80" w:after="80" w:line="360" w:lineRule="auto"/>
        <w:ind w:left="520" w:hanging="520"/>
        <w:jc w:val="both"/>
      </w:pPr>
      <w:r w:rsidRPr="00721E80">
        <w:t xml:space="preserve">RICARDO, D. Ensaio acerca da influência do baixo preço do cereal sobre os lucros do capital. In: NAPOLEONI, C. </w:t>
      </w:r>
      <w:r w:rsidRPr="00721E80">
        <w:rPr>
          <w:i/>
        </w:rPr>
        <w:t>Smith, Ricardo, Marx</w:t>
      </w:r>
      <w:r w:rsidRPr="00721E80">
        <w:t>. Rio de Janeiro: Edições Graal,  pp. 195/225, 1978.</w:t>
      </w:r>
    </w:p>
    <w:p w:rsidR="00B10D19" w:rsidRPr="008B5541" w:rsidRDefault="00B10D19" w:rsidP="00B10D19">
      <w:pPr>
        <w:spacing w:before="80" w:after="80" w:line="360" w:lineRule="auto"/>
        <w:ind w:left="520" w:hanging="520"/>
        <w:jc w:val="both"/>
      </w:pPr>
      <w:r w:rsidRPr="00721E80">
        <w:t xml:space="preserve">RICARDO, D. </w:t>
      </w:r>
      <w:r w:rsidRPr="00721E80">
        <w:rPr>
          <w:i/>
        </w:rPr>
        <w:t>Princípios de Economia Política e Tributação</w:t>
      </w:r>
      <w:r w:rsidRPr="00721E80">
        <w:t>, São Paulo, Abril Cultural,</w:t>
      </w:r>
      <w:r w:rsidRPr="008B5541">
        <w:t xml:space="preserve"> 1982 (Os Economistas</w:t>
      </w:r>
      <w:r>
        <w:t>).</w:t>
      </w:r>
    </w:p>
    <w:p w:rsidR="00B10D19" w:rsidRPr="008B5541" w:rsidRDefault="00B10D19" w:rsidP="00B10D19">
      <w:pPr>
        <w:spacing w:before="80" w:after="80" w:line="360" w:lineRule="auto"/>
        <w:ind w:left="520" w:hanging="520"/>
        <w:jc w:val="both"/>
      </w:pPr>
      <w:r w:rsidRPr="008B5541">
        <w:t xml:space="preserve">ROBINSON, J. A </w:t>
      </w:r>
      <w:r>
        <w:t>Fu</w:t>
      </w:r>
      <w:r w:rsidRPr="008B5541">
        <w:t xml:space="preserve">nção de Produção e a Teoria do Capital. In: </w:t>
      </w:r>
      <w:r w:rsidRPr="008B5541">
        <w:rPr>
          <w:i/>
        </w:rPr>
        <w:t>Contribuições à Economia Moderna</w:t>
      </w:r>
      <w:r w:rsidRPr="008B5541">
        <w:t>. Rio de Janeiro: Zahar, 1979.</w:t>
      </w:r>
    </w:p>
    <w:p w:rsidR="00B10D19" w:rsidRPr="001B195C" w:rsidRDefault="00B10D19" w:rsidP="00B10D19">
      <w:pPr>
        <w:spacing w:before="80" w:after="80" w:line="360" w:lineRule="auto"/>
        <w:ind w:left="520" w:hanging="520"/>
        <w:jc w:val="both"/>
      </w:pPr>
      <w:r w:rsidRPr="001B195C">
        <w:rPr>
          <w:lang w:val="es-ES_tradnl"/>
        </w:rPr>
        <w:t xml:space="preserve">ROBINSON, J. </w:t>
      </w:r>
      <w:r w:rsidRPr="001B195C">
        <w:rPr>
          <w:i/>
          <w:lang w:val="es-ES_tradnl"/>
        </w:rPr>
        <w:t>Economía de la Competencia Imperfecta</w:t>
      </w:r>
      <w:r w:rsidRPr="001B195C">
        <w:rPr>
          <w:lang w:val="es-ES_tradnl"/>
        </w:rPr>
        <w:t xml:space="preserve">. </w:t>
      </w:r>
      <w:r w:rsidRPr="001B195C">
        <w:t>Barcelona: Ediciones Martinez Roca, SA.</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caps/>
          <w:sz w:val="24"/>
          <w:lang w:val="en-US"/>
        </w:rPr>
        <w:t>Rodrígue</w:t>
      </w:r>
      <w:r>
        <w:rPr>
          <w:rFonts w:ascii="Times New Roman" w:hAnsi="Times New Roman"/>
          <w:sz w:val="24"/>
          <w:lang w:val="en-US"/>
        </w:rPr>
        <w:t xml:space="preserve">z, F., RODRIK, D. </w:t>
      </w:r>
      <w:r>
        <w:rPr>
          <w:rFonts w:ascii="Times New Roman" w:hAnsi="Times New Roman"/>
          <w:i/>
          <w:iCs/>
          <w:sz w:val="24"/>
          <w:lang w:val="en-US"/>
        </w:rPr>
        <w:t>Trade Policy and Economic Growth</w:t>
      </w:r>
      <w:r>
        <w:rPr>
          <w:rFonts w:ascii="Times New Roman" w:hAnsi="Times New Roman"/>
          <w:sz w:val="24"/>
          <w:lang w:val="en-US"/>
        </w:rPr>
        <w:t xml:space="preserve">: a skeptic's guide to the cross-national evidence. Bernanke, B., Rogoff, K.S. Macroeconomics Annual 2000. Cambridge, MA: MIT Press, 2001. </w:t>
      </w:r>
    </w:p>
    <w:p w:rsidR="00B10D19" w:rsidRPr="00721E80" w:rsidRDefault="00B10D19" w:rsidP="00B10D19">
      <w:pPr>
        <w:pStyle w:val="Lista"/>
        <w:spacing w:line="360" w:lineRule="auto"/>
        <w:jc w:val="both"/>
        <w:rPr>
          <w:rFonts w:ascii="Times New Roman" w:hAnsi="Times New Roman"/>
          <w:sz w:val="24"/>
          <w:lang w:val="en-US"/>
        </w:rPr>
      </w:pPr>
      <w:r w:rsidRPr="00721E80">
        <w:rPr>
          <w:rFonts w:ascii="Times New Roman" w:hAnsi="Times New Roman"/>
          <w:sz w:val="24"/>
          <w:lang w:val="en-US"/>
        </w:rPr>
        <w:t>RODRIK, D. Growth Strategies, 2003. (</w:t>
      </w:r>
      <w:hyperlink r:id="rId9" w:history="1">
        <w:r w:rsidRPr="00721E80">
          <w:rPr>
            <w:rFonts w:ascii="Times New Roman" w:hAnsi="Times New Roman"/>
            <w:sz w:val="24"/>
            <w:lang w:val="en-US"/>
          </w:rPr>
          <w:t>http://ksghome.harvard.edu/~.drodrik.academic.ksg/papers.html</w:t>
        </w:r>
      </w:hyperlink>
      <w:r w:rsidRPr="00721E80">
        <w:rPr>
          <w:rFonts w:ascii="Times New Roman" w:hAnsi="Times New Roman"/>
          <w:sz w:val="24"/>
          <w:lang w:val="en-US"/>
        </w:rPr>
        <w:t>.)</w:t>
      </w:r>
    </w:p>
    <w:p w:rsidR="00B10D19" w:rsidRPr="00721E80" w:rsidRDefault="00B10D19" w:rsidP="00B10D19">
      <w:pPr>
        <w:pStyle w:val="Lista"/>
        <w:spacing w:line="360" w:lineRule="auto"/>
        <w:jc w:val="both"/>
        <w:rPr>
          <w:rFonts w:ascii="Times New Roman" w:hAnsi="Times New Roman"/>
          <w:sz w:val="24"/>
          <w:lang w:val="en-US"/>
        </w:rPr>
      </w:pPr>
      <w:r w:rsidRPr="00721E80">
        <w:rPr>
          <w:rFonts w:ascii="Times New Roman" w:hAnsi="Times New Roman"/>
          <w:sz w:val="24"/>
          <w:lang w:val="en-US"/>
        </w:rPr>
        <w:lastRenderedPageBreak/>
        <w:t>RODRIK, D. Who Needs Capital-Account Convertibility? 1998 (http://ksghome.harvard.edu/~.drodrik.academic.ksg/papers.html).</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ROGOFF, K. Rethinking Capital Controls: When Should We Keep an Open Mind? </w:t>
      </w:r>
      <w:r>
        <w:rPr>
          <w:rFonts w:ascii="Times New Roman" w:hAnsi="Times New Roman"/>
          <w:i/>
          <w:iCs/>
          <w:sz w:val="24"/>
          <w:lang w:val="en-US"/>
        </w:rPr>
        <w:t>Finance and Development</w:t>
      </w:r>
      <w:r>
        <w:rPr>
          <w:rFonts w:ascii="Times New Roman" w:hAnsi="Times New Roman"/>
          <w:sz w:val="24"/>
          <w:lang w:val="en-US"/>
        </w:rPr>
        <w:t>, v. 39, n. 4. Washington, DC: IMF, 2002.</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ROSENTEI-RODAN, P. M. Natura Facit Saltum: Analysis of Desequilibrium Growth Process. In MEIER, Gerald M, SEERS, Dudley (edit.). </w:t>
      </w:r>
      <w:r>
        <w:rPr>
          <w:rFonts w:ascii="Times New Roman" w:hAnsi="Times New Roman"/>
          <w:bCs/>
          <w:i/>
          <w:iCs/>
          <w:sz w:val="24"/>
          <w:lang w:val="en-US"/>
        </w:rPr>
        <w:t>Pioneers in Development</w:t>
      </w:r>
      <w:r>
        <w:rPr>
          <w:rFonts w:ascii="Times New Roman" w:hAnsi="Times New Roman"/>
          <w:bCs/>
          <w:sz w:val="24"/>
          <w:lang w:val="en-US"/>
        </w:rPr>
        <w:t>.</w:t>
      </w:r>
      <w:r>
        <w:rPr>
          <w:rFonts w:ascii="Times New Roman" w:hAnsi="Times New Roman"/>
          <w:b/>
          <w:sz w:val="24"/>
          <w:lang w:val="en-US"/>
        </w:rPr>
        <w:t xml:space="preserve"> </w:t>
      </w:r>
      <w:r>
        <w:rPr>
          <w:rFonts w:ascii="Times New Roman" w:hAnsi="Times New Roman"/>
          <w:sz w:val="24"/>
          <w:lang w:val="en-US"/>
        </w:rPr>
        <w:t xml:space="preserve">Oxford: Oxford University Press, 1984. </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ROSENTEI-RODAN, P. M. Problems of Industrialization of Eastern and South Eastern Europe. </w:t>
      </w:r>
      <w:r>
        <w:rPr>
          <w:rFonts w:ascii="Times New Roman" w:hAnsi="Times New Roman"/>
          <w:bCs/>
          <w:i/>
          <w:iCs/>
          <w:sz w:val="24"/>
          <w:lang w:val="en-US"/>
        </w:rPr>
        <w:t>Economic Journal</w:t>
      </w:r>
      <w:r>
        <w:rPr>
          <w:rFonts w:ascii="Times New Roman" w:hAnsi="Times New Roman"/>
          <w:sz w:val="24"/>
          <w:lang w:val="en-US"/>
        </w:rPr>
        <w:t>, v. 53, n.2, 202-211 (June-September), 1943</w:t>
      </w:r>
    </w:p>
    <w:p w:rsidR="00B10D19" w:rsidRPr="008B5541" w:rsidRDefault="00B10D19" w:rsidP="00B10D19">
      <w:pPr>
        <w:spacing w:before="80" w:after="80" w:line="360" w:lineRule="auto"/>
        <w:ind w:left="520" w:hanging="520"/>
        <w:jc w:val="both"/>
      </w:pPr>
      <w:r w:rsidRPr="009F1F35">
        <w:rPr>
          <w:lang w:val="en-US"/>
        </w:rPr>
        <w:t xml:space="preserve">ROSS, S. </w:t>
      </w:r>
      <w:r w:rsidRPr="009F1F35">
        <w:rPr>
          <w:i/>
          <w:lang w:val="en-US"/>
        </w:rPr>
        <w:t>et al</w:t>
      </w:r>
      <w:r w:rsidRPr="009F1F35">
        <w:rPr>
          <w:lang w:val="en-US"/>
        </w:rPr>
        <w:t xml:space="preserve">. </w:t>
      </w:r>
      <w:r w:rsidRPr="008B5541">
        <w:rPr>
          <w:i/>
        </w:rPr>
        <w:t>Administração Financeira</w:t>
      </w:r>
      <w:r w:rsidRPr="008B5541">
        <w:t>. São Paulo: Atlas, 1995.</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SACHS, J. WARNER, A. </w:t>
      </w:r>
      <w:r>
        <w:rPr>
          <w:rFonts w:ascii="Times New Roman" w:hAnsi="Times New Roman"/>
          <w:i/>
          <w:iCs/>
          <w:sz w:val="24"/>
          <w:lang w:val="en-US"/>
        </w:rPr>
        <w:t>Economic Reform and the Process of Global</w:t>
      </w:r>
      <w:r>
        <w:rPr>
          <w:rFonts w:ascii="Times New Roman" w:hAnsi="Times New Roman"/>
          <w:sz w:val="24"/>
          <w:lang w:val="en-US"/>
        </w:rPr>
        <w:t>. Integration Brookings Papers on Economic Activity, Issue 1, 1995</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SAES, D. </w:t>
      </w:r>
      <w:r>
        <w:rPr>
          <w:rFonts w:ascii="Times New Roman" w:hAnsi="Times New Roman"/>
          <w:i/>
          <w:iCs/>
          <w:sz w:val="24"/>
        </w:rPr>
        <w:t>A Formação do Estado Burguês no Brasil</w:t>
      </w:r>
      <w:r>
        <w:rPr>
          <w:rFonts w:ascii="Times New Roman" w:hAnsi="Times New Roman"/>
          <w:sz w:val="24"/>
        </w:rPr>
        <w:t xml:space="preserve"> (1888/1891). Rio de Janeiro, Paz e Terra, 1985.</w:t>
      </w:r>
    </w:p>
    <w:p w:rsidR="00B10D19" w:rsidRPr="001B195C" w:rsidRDefault="00B10D19" w:rsidP="00B10D19">
      <w:pPr>
        <w:spacing w:before="80" w:after="80" w:line="360" w:lineRule="auto"/>
        <w:ind w:left="520" w:hanging="520"/>
        <w:jc w:val="both"/>
      </w:pPr>
      <w:r w:rsidRPr="001B195C">
        <w:t xml:space="preserve">SCHERER, F.M. </w:t>
      </w:r>
      <w:r w:rsidRPr="001B195C">
        <w:rPr>
          <w:i/>
        </w:rPr>
        <w:t xml:space="preserve">Preços </w:t>
      </w:r>
      <w:r>
        <w:rPr>
          <w:i/>
        </w:rPr>
        <w:t>I</w:t>
      </w:r>
      <w:r w:rsidRPr="001B195C">
        <w:rPr>
          <w:i/>
        </w:rPr>
        <w:t>ndustriais</w:t>
      </w:r>
      <w:r w:rsidRPr="001B195C">
        <w:t>: teoria e evidência. Rio de Janeiro: Campus, 1979.</w:t>
      </w:r>
    </w:p>
    <w:p w:rsidR="00B10D19" w:rsidRPr="008B5541" w:rsidRDefault="00B10D19" w:rsidP="00B10D19">
      <w:pPr>
        <w:spacing w:before="80" w:after="80" w:line="360" w:lineRule="auto"/>
        <w:ind w:left="520" w:hanging="520"/>
        <w:jc w:val="both"/>
      </w:pPr>
      <w:r w:rsidRPr="008B5541">
        <w:t xml:space="preserve">SCHUMPETER, J.A. </w:t>
      </w:r>
      <w:r w:rsidRPr="008B5541">
        <w:rPr>
          <w:i/>
        </w:rPr>
        <w:t>Teoria do Desenvolvimento Econômico</w:t>
      </w:r>
      <w:r w:rsidRPr="008B5541">
        <w:t>. São Paulo: Abril Cultural, 1982 (Os Economistas).</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rPr>
        <w:t xml:space="preserve">SERRA, J. Ciclos e Mudançcas Estruturais na Economia Brasileira no Pós-Guerra. In BELLUZZO, L. G. M., COUTINHO, R. </w:t>
      </w:r>
      <w:r>
        <w:rPr>
          <w:rFonts w:ascii="Times New Roman" w:hAnsi="Times New Roman"/>
          <w:i/>
          <w:iCs/>
          <w:sz w:val="24"/>
        </w:rPr>
        <w:t>Desenvolvimento Capitalista no Brasil</w:t>
      </w:r>
      <w:r>
        <w:rPr>
          <w:rFonts w:ascii="Times New Roman" w:hAnsi="Times New Roman"/>
          <w:sz w:val="24"/>
        </w:rPr>
        <w:t xml:space="preserve">: Ensaios Sobre a Crise (vol. </w:t>
      </w:r>
      <w:r>
        <w:rPr>
          <w:rFonts w:ascii="Times New Roman" w:hAnsi="Times New Roman"/>
          <w:sz w:val="24"/>
          <w:lang w:val="en-US"/>
        </w:rPr>
        <w:t>I). São Paulo: Brasiliense, 1982.</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SHAPIRO, H., TAYLOR, L. The State and Industrial Strategy. </w:t>
      </w:r>
      <w:r>
        <w:rPr>
          <w:rFonts w:ascii="Times New Roman" w:hAnsi="Times New Roman"/>
          <w:bCs/>
          <w:i/>
          <w:iCs/>
          <w:sz w:val="24"/>
          <w:lang w:val="en-US"/>
        </w:rPr>
        <w:t>World Development</w:t>
      </w:r>
      <w:r>
        <w:rPr>
          <w:rFonts w:ascii="Times New Roman" w:hAnsi="Times New Roman"/>
          <w:bCs/>
          <w:sz w:val="24"/>
          <w:lang w:val="en-US"/>
        </w:rPr>
        <w:t>,</w:t>
      </w:r>
      <w:r>
        <w:rPr>
          <w:rFonts w:ascii="Times New Roman" w:hAnsi="Times New Roman"/>
          <w:b/>
          <w:sz w:val="24"/>
          <w:lang w:val="en-US"/>
        </w:rPr>
        <w:t xml:space="preserve"> </w:t>
      </w:r>
      <w:r>
        <w:rPr>
          <w:rFonts w:ascii="Times New Roman" w:hAnsi="Times New Roman"/>
          <w:sz w:val="24"/>
          <w:lang w:val="en-US"/>
        </w:rPr>
        <w:t>v.18, n. 6, pp. 861-878, 1990.</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SILVA, S. </w:t>
      </w:r>
      <w:r>
        <w:rPr>
          <w:rFonts w:ascii="Times New Roman" w:hAnsi="Times New Roman"/>
          <w:i/>
          <w:iCs/>
          <w:sz w:val="24"/>
        </w:rPr>
        <w:t>Expansão Cafeeira e Origens da Indústria no Brasil</w:t>
      </w:r>
      <w:r>
        <w:rPr>
          <w:rFonts w:ascii="Times New Roman" w:hAnsi="Times New Roman"/>
          <w:sz w:val="24"/>
        </w:rPr>
        <w:t>. 5.ed. São Paulo: Alfa Omega, 1981.</w:t>
      </w:r>
    </w:p>
    <w:p w:rsidR="00B10D19" w:rsidRPr="009F1F35" w:rsidRDefault="00B10D19" w:rsidP="00B10D19">
      <w:pPr>
        <w:spacing w:before="80" w:after="80" w:line="360" w:lineRule="auto"/>
        <w:ind w:left="520" w:hanging="520"/>
        <w:jc w:val="both"/>
      </w:pPr>
      <w:r w:rsidRPr="001B195C">
        <w:t xml:space="preserve">SIMON, H.A. A </w:t>
      </w:r>
      <w:r>
        <w:t>R</w:t>
      </w:r>
      <w:r w:rsidRPr="001B195C">
        <w:t xml:space="preserve">acionalidade do </w:t>
      </w:r>
      <w:r>
        <w:t>P</w:t>
      </w:r>
      <w:r w:rsidRPr="001B195C">
        <w:t xml:space="preserve">rocesso </w:t>
      </w:r>
      <w:r>
        <w:t>D</w:t>
      </w:r>
      <w:r w:rsidRPr="001B195C">
        <w:t xml:space="preserve">ecisório em </w:t>
      </w:r>
      <w:r>
        <w:t>E</w:t>
      </w:r>
      <w:r w:rsidRPr="001B195C">
        <w:t xml:space="preserve">mpresas. </w:t>
      </w:r>
      <w:r w:rsidRPr="009F1F35">
        <w:t xml:space="preserve">Edições Multiplic. Vol. 1. N. 1, Outubro, 1980b. </w:t>
      </w:r>
    </w:p>
    <w:p w:rsidR="00B10D19" w:rsidRPr="001B195C" w:rsidRDefault="00B10D19" w:rsidP="00B10D19">
      <w:pPr>
        <w:spacing w:before="80" w:after="80" w:line="360" w:lineRule="auto"/>
        <w:ind w:left="520" w:hanging="520"/>
        <w:jc w:val="both"/>
        <w:rPr>
          <w:lang w:val="en-US"/>
        </w:rPr>
      </w:pPr>
      <w:r w:rsidRPr="001B195C">
        <w:rPr>
          <w:lang w:val="en-US"/>
        </w:rPr>
        <w:t xml:space="preserve">SIMON, H.A. </w:t>
      </w:r>
      <w:r w:rsidRPr="001B195C">
        <w:rPr>
          <w:i/>
          <w:lang w:val="en-US"/>
        </w:rPr>
        <w:t>Models of Bounded Rationality</w:t>
      </w:r>
      <w:r w:rsidRPr="001B195C">
        <w:rPr>
          <w:lang w:val="en-US"/>
        </w:rPr>
        <w:t>. Cambridge, Mass.: MIT Press, 1980a.</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SIMONSEN, R. </w:t>
      </w:r>
      <w:r>
        <w:rPr>
          <w:rFonts w:ascii="Times New Roman" w:hAnsi="Times New Roman"/>
          <w:i/>
          <w:iCs/>
          <w:sz w:val="24"/>
        </w:rPr>
        <w:t>Evolução Industrial do Brasil e Outros Estudos</w:t>
      </w:r>
      <w:r>
        <w:rPr>
          <w:rFonts w:ascii="Times New Roman" w:hAnsi="Times New Roman"/>
          <w:sz w:val="24"/>
        </w:rPr>
        <w:t>. São Paulo: Editora Nacional e Edusp,1973.</w:t>
      </w:r>
    </w:p>
    <w:p w:rsidR="00B10D19" w:rsidRDefault="00B10D19" w:rsidP="00B10D19">
      <w:pPr>
        <w:pStyle w:val="Lista"/>
        <w:spacing w:line="360" w:lineRule="auto"/>
        <w:jc w:val="both"/>
        <w:rPr>
          <w:sz w:val="24"/>
          <w:lang w:val="en-GB"/>
        </w:rPr>
      </w:pPr>
      <w:r>
        <w:rPr>
          <w:rFonts w:ascii="Times New Roman" w:hAnsi="Times New Roman"/>
          <w:sz w:val="24"/>
          <w:lang w:val="en-US"/>
        </w:rPr>
        <w:t>SKIDELSKY, R. John Maynard Keynes, 1883-1946: economist, philosopher, statesman. London: Pan Books, 2004.</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lastRenderedPageBreak/>
        <w:t xml:space="preserve">SKIDELSKY, R. </w:t>
      </w:r>
      <w:r>
        <w:rPr>
          <w:rFonts w:ascii="Times New Roman" w:hAnsi="Times New Roman"/>
          <w:i/>
          <w:iCs/>
          <w:sz w:val="24"/>
          <w:lang w:val="en-US"/>
        </w:rPr>
        <w:t>John Maynard Keynes</w:t>
      </w:r>
      <w:r>
        <w:rPr>
          <w:rFonts w:ascii="Times New Roman" w:hAnsi="Times New Roman"/>
          <w:sz w:val="24"/>
          <w:lang w:val="en-US"/>
        </w:rPr>
        <w:t>: fighting for Britain, 1937-1946. London: MacMillan, 2000.</w:t>
      </w:r>
    </w:p>
    <w:p w:rsidR="00B10D19" w:rsidRDefault="00B10D19" w:rsidP="00B10D19">
      <w:pPr>
        <w:pStyle w:val="Lista"/>
        <w:spacing w:line="360" w:lineRule="auto"/>
        <w:jc w:val="both"/>
        <w:rPr>
          <w:sz w:val="24"/>
        </w:rPr>
      </w:pPr>
      <w:r>
        <w:rPr>
          <w:rFonts w:ascii="Times New Roman" w:hAnsi="Times New Roman"/>
          <w:sz w:val="24"/>
          <w:lang w:val="en-US"/>
        </w:rPr>
        <w:t xml:space="preserve">SNOWDON, B., VANE, H. R. Modern Macroeconomics: its origins, development and current state. </w:t>
      </w:r>
      <w:r>
        <w:rPr>
          <w:rFonts w:ascii="Times New Roman" w:hAnsi="Times New Roman"/>
          <w:sz w:val="24"/>
        </w:rPr>
        <w:t>Cheltenham, UK: Edward Elgar, 2005.</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rPr>
        <w:t>SOFRI, G.</w:t>
      </w:r>
      <w:r>
        <w:rPr>
          <w:rFonts w:ascii="Times New Roman" w:hAnsi="Times New Roman"/>
          <w:i/>
          <w:iCs/>
          <w:sz w:val="24"/>
        </w:rPr>
        <w:t xml:space="preserve"> O Modo de Produção Asiático</w:t>
      </w:r>
      <w:r>
        <w:rPr>
          <w:rFonts w:ascii="Times New Roman" w:hAnsi="Times New Roman"/>
          <w:sz w:val="24"/>
        </w:rPr>
        <w:t xml:space="preserve">: história de uma controvérsia marxista. </w:t>
      </w:r>
      <w:r>
        <w:rPr>
          <w:rFonts w:ascii="Times New Roman" w:hAnsi="Times New Roman"/>
          <w:sz w:val="24"/>
          <w:lang w:val="en-US"/>
        </w:rPr>
        <w:t>Rio de Janeiro: Paz e Terra, 1977.</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lang w:val="en-US"/>
        </w:rPr>
        <w:t xml:space="preserve">SOLOMON, R. </w:t>
      </w:r>
      <w:r>
        <w:rPr>
          <w:rFonts w:ascii="Times New Roman" w:hAnsi="Times New Roman"/>
          <w:i/>
          <w:iCs/>
          <w:sz w:val="24"/>
          <w:lang w:val="en-US"/>
        </w:rPr>
        <w:t>Money on the Move</w:t>
      </w:r>
      <w:r>
        <w:rPr>
          <w:rFonts w:ascii="Times New Roman" w:hAnsi="Times New Roman"/>
          <w:sz w:val="24"/>
          <w:lang w:val="en-US"/>
        </w:rPr>
        <w:t xml:space="preserve">: the revolution in international finance since 1980. </w:t>
      </w:r>
      <w:r>
        <w:rPr>
          <w:rFonts w:ascii="Times New Roman" w:hAnsi="Times New Roman"/>
          <w:sz w:val="24"/>
        </w:rPr>
        <w:t xml:space="preserve">Princeton: Princeton University Press, 1999. </w:t>
      </w:r>
    </w:p>
    <w:p w:rsidR="00B10D19" w:rsidRPr="008B5541" w:rsidRDefault="00B10D19" w:rsidP="00B10D19">
      <w:pPr>
        <w:spacing w:before="80" w:after="80" w:line="360" w:lineRule="auto"/>
        <w:ind w:left="520" w:hanging="520"/>
        <w:jc w:val="both"/>
      </w:pPr>
      <w:r w:rsidRPr="008B5541">
        <w:t xml:space="preserve">SOROS, G. </w:t>
      </w:r>
      <w:r w:rsidRPr="008B5541">
        <w:rPr>
          <w:i/>
        </w:rPr>
        <w:t>A Alquimia das Finanças</w:t>
      </w:r>
      <w:r w:rsidRPr="008B5541">
        <w:t>. Rio de Janeiro: Nova Fronteira, 1996.</w:t>
      </w:r>
    </w:p>
    <w:p w:rsidR="00B10D19" w:rsidRPr="009F1F35" w:rsidRDefault="00B10D19" w:rsidP="00B10D19">
      <w:pPr>
        <w:pStyle w:val="Lista"/>
        <w:spacing w:line="360" w:lineRule="auto"/>
        <w:jc w:val="both"/>
        <w:rPr>
          <w:rFonts w:ascii="Times New Roman" w:hAnsi="Times New Roman"/>
          <w:sz w:val="24"/>
          <w:lang w:val="en-US"/>
        </w:rPr>
      </w:pPr>
      <w:r>
        <w:rPr>
          <w:rFonts w:ascii="Times New Roman" w:hAnsi="Times New Roman"/>
          <w:sz w:val="24"/>
        </w:rPr>
        <w:t xml:space="preserve">SOUZA, F. E. P. Metamorfoses do Endividamento Externo. In CASTRO, A. B., SOUZA, F. E. P. </w:t>
      </w:r>
      <w:r>
        <w:rPr>
          <w:rFonts w:ascii="Times New Roman" w:hAnsi="Times New Roman"/>
          <w:i/>
          <w:iCs/>
          <w:sz w:val="24"/>
        </w:rPr>
        <w:t>A Economia Brasileira em Marcha Forçada</w:t>
      </w:r>
      <w:r>
        <w:rPr>
          <w:rFonts w:ascii="Times New Roman" w:hAnsi="Times New Roman"/>
          <w:sz w:val="24"/>
        </w:rPr>
        <w:t xml:space="preserve">. </w:t>
      </w:r>
      <w:r w:rsidRPr="009F1F35">
        <w:rPr>
          <w:rFonts w:ascii="Times New Roman" w:hAnsi="Times New Roman"/>
          <w:sz w:val="24"/>
          <w:lang w:val="en-US"/>
        </w:rPr>
        <w:t>São Paulo: Paz e Terra, 1985.</w:t>
      </w:r>
    </w:p>
    <w:p w:rsidR="00B10D19" w:rsidRPr="001B195C" w:rsidRDefault="00B10D19" w:rsidP="00B10D19">
      <w:pPr>
        <w:spacing w:before="80" w:after="80" w:line="360" w:lineRule="auto"/>
        <w:ind w:left="520" w:hanging="520"/>
        <w:jc w:val="both"/>
        <w:rPr>
          <w:lang w:val="en-US"/>
        </w:rPr>
      </w:pPr>
      <w:r w:rsidRPr="001B195C">
        <w:rPr>
          <w:lang w:val="en-US"/>
        </w:rPr>
        <w:t xml:space="preserve">SRAFFA, P. The Laws of Return under Competitive Conditions. </w:t>
      </w:r>
      <w:r w:rsidRPr="001B195C">
        <w:rPr>
          <w:i/>
          <w:lang w:val="en-US"/>
        </w:rPr>
        <w:t>The Economic Journal</w:t>
      </w:r>
      <w:r>
        <w:rPr>
          <w:lang w:val="en-US"/>
        </w:rPr>
        <w:t>, n</w:t>
      </w:r>
      <w:r w:rsidRPr="001B195C">
        <w:rPr>
          <w:lang w:val="en-US"/>
        </w:rPr>
        <w:t>. 144, Vol. 36, December</w:t>
      </w:r>
      <w:r>
        <w:rPr>
          <w:lang w:val="en-US"/>
        </w:rPr>
        <w:t>, 1976</w:t>
      </w:r>
      <w:r w:rsidRPr="001B195C">
        <w:rPr>
          <w:lang w:val="en-US"/>
        </w:rPr>
        <w:t>.</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rPr>
        <w:t xml:space="preserve">STIGLITZ, J. E. </w:t>
      </w:r>
      <w:r>
        <w:rPr>
          <w:rFonts w:ascii="Times New Roman" w:hAnsi="Times New Roman"/>
          <w:i/>
          <w:iCs/>
          <w:sz w:val="24"/>
        </w:rPr>
        <w:t>A Globalização e Seus Malefícios</w:t>
      </w:r>
      <w:r>
        <w:rPr>
          <w:rFonts w:ascii="Times New Roman" w:hAnsi="Times New Roman"/>
          <w:sz w:val="24"/>
        </w:rPr>
        <w:t xml:space="preserve">. </w:t>
      </w:r>
      <w:r>
        <w:rPr>
          <w:rFonts w:ascii="Times New Roman" w:hAnsi="Times New Roman"/>
          <w:sz w:val="24"/>
          <w:lang w:val="en-US"/>
        </w:rPr>
        <w:t>São Paulo: Futura, 2002.</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STRANGE, S. </w:t>
      </w:r>
      <w:r>
        <w:rPr>
          <w:rFonts w:ascii="Times New Roman" w:hAnsi="Times New Roman"/>
          <w:i/>
          <w:iCs/>
          <w:sz w:val="24"/>
          <w:lang w:val="en-US"/>
        </w:rPr>
        <w:t>Mad Money</w:t>
      </w:r>
      <w:r>
        <w:rPr>
          <w:rFonts w:ascii="Times New Roman" w:hAnsi="Times New Roman"/>
          <w:sz w:val="24"/>
          <w:lang w:val="en-US"/>
        </w:rPr>
        <w:t xml:space="preserve">: when markets outgrow governments. The University of Michigan Press, 1998.  </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SUZIGAN, W. </w:t>
      </w:r>
      <w:r>
        <w:rPr>
          <w:rFonts w:ascii="Times New Roman" w:hAnsi="Times New Roman"/>
          <w:i/>
          <w:iCs/>
          <w:sz w:val="24"/>
        </w:rPr>
        <w:t>Indústria Brasileira</w:t>
      </w:r>
      <w:r>
        <w:rPr>
          <w:rFonts w:ascii="Times New Roman" w:hAnsi="Times New Roman"/>
          <w:sz w:val="24"/>
        </w:rPr>
        <w:t>: origens e desenvolvimento. São Paulo: Brasiliense, 1986.</w:t>
      </w:r>
    </w:p>
    <w:p w:rsidR="00B10D19" w:rsidRDefault="00B10D19" w:rsidP="00B10D19">
      <w:pPr>
        <w:spacing w:before="80" w:after="80" w:line="360" w:lineRule="auto"/>
        <w:ind w:left="520" w:hanging="520"/>
        <w:jc w:val="both"/>
      </w:pPr>
      <w:r w:rsidRPr="001B195C">
        <w:t xml:space="preserve">SYLOS-LABINI, P. </w:t>
      </w:r>
      <w:r w:rsidRPr="001B195C">
        <w:rPr>
          <w:i/>
        </w:rPr>
        <w:t xml:space="preserve">Oligopólio e </w:t>
      </w:r>
      <w:r>
        <w:rPr>
          <w:i/>
        </w:rPr>
        <w:t>P</w:t>
      </w:r>
      <w:r w:rsidRPr="001B195C">
        <w:rPr>
          <w:i/>
        </w:rPr>
        <w:t xml:space="preserve">rogresso </w:t>
      </w:r>
      <w:r>
        <w:rPr>
          <w:i/>
        </w:rPr>
        <w:t>T</w:t>
      </w:r>
      <w:r w:rsidRPr="001B195C">
        <w:rPr>
          <w:i/>
        </w:rPr>
        <w:t>écnico</w:t>
      </w:r>
      <w:r w:rsidRPr="001B195C">
        <w:t>. Rio de Janeiro: Forense Universitária/ São Paulo: Edusp</w:t>
      </w:r>
      <w:r>
        <w:t>, 1980</w:t>
      </w:r>
      <w:r w:rsidRPr="001B195C">
        <w:t>.</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TAVARES, M. C. </w:t>
      </w:r>
      <w:r>
        <w:rPr>
          <w:rFonts w:ascii="Times New Roman" w:hAnsi="Times New Roman"/>
          <w:i/>
          <w:iCs/>
          <w:sz w:val="24"/>
        </w:rPr>
        <w:t>Acumulação de Capital e Industrialização no Brasil</w:t>
      </w:r>
      <w:r>
        <w:rPr>
          <w:rFonts w:ascii="Times New Roman" w:hAnsi="Times New Roman"/>
          <w:sz w:val="24"/>
        </w:rPr>
        <w:t>. Campinas: Ed. Unicamp, 1985.</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TAVARES, M. C. As Políticas de Ajuste no Brasil: os Limites da Resistência. In TAVARES, M. C, FIORI, J. L. </w:t>
      </w:r>
      <w:r>
        <w:rPr>
          <w:rFonts w:ascii="Times New Roman" w:hAnsi="Times New Roman"/>
          <w:i/>
          <w:iCs/>
          <w:sz w:val="24"/>
        </w:rPr>
        <w:t>(Des)Ajuste Global e Modernização Conservadora</w:t>
      </w:r>
      <w:r>
        <w:rPr>
          <w:rFonts w:ascii="Times New Roman" w:hAnsi="Times New Roman"/>
          <w:sz w:val="24"/>
        </w:rPr>
        <w:t>. Rio de Janeiro: Paz e Terra, 1993.</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TAVARES, M. C. </w:t>
      </w:r>
      <w:r>
        <w:rPr>
          <w:rFonts w:ascii="Times New Roman" w:hAnsi="Times New Roman"/>
          <w:i/>
          <w:iCs/>
          <w:sz w:val="24"/>
        </w:rPr>
        <w:t>Ciclo e Crise</w:t>
      </w:r>
      <w:r>
        <w:rPr>
          <w:rFonts w:ascii="Times New Roman" w:hAnsi="Times New Roman"/>
          <w:sz w:val="24"/>
        </w:rPr>
        <w:t>: o movimento recente da economia brasileira.  Rio de Janeiro: IEI/UFRJ (mimeo - Tese para Professor Titular), 1978.</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TAVARES, M. C. Da Substituição de Importações ao Capitalismo Financeiro, 9</w:t>
      </w:r>
      <w:r>
        <w:rPr>
          <w:rFonts w:ascii="Times New Roman" w:hAnsi="Times New Roman"/>
          <w:sz w:val="24"/>
          <w:vertAlign w:val="superscript"/>
        </w:rPr>
        <w:t>a</w:t>
      </w:r>
      <w:r>
        <w:rPr>
          <w:rFonts w:ascii="Times New Roman" w:hAnsi="Times New Roman"/>
          <w:sz w:val="24"/>
        </w:rPr>
        <w:t xml:space="preserve"> ed. Rio de Janeiro: Zahar Editores, 1981.</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rPr>
        <w:t xml:space="preserve">TAVARES, M. C., BELLUZZO, L. G. M. Notas Sobre o Processo de Industrialização Recente no Brasil. </w:t>
      </w:r>
      <w:r>
        <w:rPr>
          <w:rFonts w:ascii="Times New Roman" w:hAnsi="Times New Roman"/>
          <w:i/>
          <w:iCs/>
          <w:sz w:val="24"/>
        </w:rPr>
        <w:t>Desenvolvimento Capitalista no Brasil</w:t>
      </w:r>
      <w:r>
        <w:rPr>
          <w:rFonts w:ascii="Times New Roman" w:hAnsi="Times New Roman"/>
          <w:sz w:val="24"/>
        </w:rPr>
        <w:t xml:space="preserve">: Ensaios Sobre a Crise (vol. I). </w:t>
      </w:r>
      <w:r>
        <w:rPr>
          <w:rFonts w:ascii="Times New Roman" w:hAnsi="Times New Roman"/>
          <w:sz w:val="24"/>
          <w:lang w:val="en-US"/>
        </w:rPr>
        <w:t>São Paulo: Brasiliense, 1982.</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TRIFFIN, R. </w:t>
      </w:r>
      <w:r>
        <w:rPr>
          <w:rFonts w:ascii="Times New Roman" w:hAnsi="Times New Roman"/>
          <w:i/>
          <w:iCs/>
          <w:sz w:val="24"/>
          <w:lang w:val="en-US"/>
        </w:rPr>
        <w:t>Gold and the Dollar Crisis</w:t>
      </w:r>
      <w:r>
        <w:rPr>
          <w:rFonts w:ascii="Times New Roman" w:hAnsi="Times New Roman"/>
          <w:sz w:val="24"/>
          <w:lang w:val="en-US"/>
        </w:rPr>
        <w:t xml:space="preserve">. New Haven: Yale University Press, 1960. </w:t>
      </w:r>
    </w:p>
    <w:p w:rsidR="00B10D19" w:rsidRDefault="00B10D19" w:rsidP="00B10D19">
      <w:pPr>
        <w:pStyle w:val="Lista"/>
        <w:spacing w:line="360" w:lineRule="auto"/>
        <w:ind w:left="284" w:hanging="284"/>
        <w:jc w:val="both"/>
        <w:rPr>
          <w:rFonts w:ascii="Times New Roman" w:hAnsi="Times New Roman"/>
          <w:sz w:val="24"/>
          <w:lang w:val="en-US"/>
        </w:rPr>
      </w:pPr>
      <w:r>
        <w:rPr>
          <w:rFonts w:ascii="Times New Roman" w:hAnsi="Times New Roman"/>
          <w:sz w:val="24"/>
          <w:lang w:val="en-US"/>
        </w:rPr>
        <w:lastRenderedPageBreak/>
        <w:t xml:space="preserve">UNCTAD. </w:t>
      </w:r>
      <w:r>
        <w:rPr>
          <w:rFonts w:ascii="Times New Roman" w:hAnsi="Times New Roman"/>
          <w:i/>
          <w:sz w:val="24"/>
          <w:lang w:val="en-US"/>
        </w:rPr>
        <w:t>Trade and Development Report</w:t>
      </w:r>
      <w:r>
        <w:rPr>
          <w:rFonts w:ascii="Times New Roman" w:hAnsi="Times New Roman"/>
          <w:sz w:val="24"/>
          <w:lang w:val="en-US"/>
        </w:rPr>
        <w:t>, 2005. Geneve, United Nations Conference on Trade and Development, 2005b.</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UNCTAD. </w:t>
      </w:r>
      <w:r>
        <w:rPr>
          <w:rFonts w:ascii="Times New Roman" w:hAnsi="Times New Roman"/>
          <w:i/>
          <w:sz w:val="24"/>
          <w:lang w:val="en-US"/>
        </w:rPr>
        <w:t>World Investment Report</w:t>
      </w:r>
      <w:r>
        <w:rPr>
          <w:rFonts w:ascii="Times New Roman" w:hAnsi="Times New Roman"/>
          <w:sz w:val="24"/>
          <w:lang w:val="en-US"/>
        </w:rPr>
        <w:t>, 2005. Geneve, United Nations Conference on Trade and Development, 2005.</w:t>
      </w:r>
    </w:p>
    <w:p w:rsidR="00B10D19" w:rsidRPr="009F1F35" w:rsidRDefault="00B10D19" w:rsidP="00B10D19">
      <w:pPr>
        <w:pStyle w:val="Lista"/>
        <w:spacing w:line="360" w:lineRule="auto"/>
        <w:jc w:val="both"/>
        <w:rPr>
          <w:rFonts w:ascii="Times New Roman" w:hAnsi="Times New Roman"/>
          <w:sz w:val="24"/>
        </w:rPr>
      </w:pPr>
      <w:r>
        <w:rPr>
          <w:rFonts w:ascii="Times New Roman" w:hAnsi="Times New Roman"/>
          <w:sz w:val="24"/>
          <w:lang w:val="en-US"/>
        </w:rPr>
        <w:t xml:space="preserve">VAN DER WEE, H. </w:t>
      </w:r>
      <w:r>
        <w:rPr>
          <w:rFonts w:ascii="Times New Roman" w:hAnsi="Times New Roman"/>
          <w:i/>
          <w:iCs/>
          <w:sz w:val="24"/>
          <w:lang w:val="en-US"/>
        </w:rPr>
        <w:t>Prosperity and Upheaval</w:t>
      </w:r>
      <w:r>
        <w:rPr>
          <w:rFonts w:ascii="Times New Roman" w:hAnsi="Times New Roman"/>
          <w:sz w:val="24"/>
          <w:lang w:val="en-US"/>
        </w:rPr>
        <w:t xml:space="preserve">: the world economy 1945-1980. </w:t>
      </w:r>
      <w:r w:rsidRPr="009F1F35">
        <w:rPr>
          <w:rFonts w:ascii="Times New Roman" w:hAnsi="Times New Roman"/>
          <w:sz w:val="24"/>
        </w:rPr>
        <w:t>London: Penguin Books, 1986.</w:t>
      </w:r>
    </w:p>
    <w:p w:rsidR="00B10D19" w:rsidRPr="001B195C" w:rsidRDefault="00B10D19" w:rsidP="00B10D19">
      <w:pPr>
        <w:spacing w:before="80" w:after="80" w:line="360" w:lineRule="auto"/>
        <w:ind w:left="520" w:hanging="520"/>
        <w:jc w:val="both"/>
      </w:pPr>
      <w:r>
        <w:t xml:space="preserve">VARIAN, H. </w:t>
      </w:r>
      <w:r w:rsidRPr="00C46218">
        <w:rPr>
          <w:i/>
        </w:rPr>
        <w:t>Microeconomia</w:t>
      </w:r>
      <w:r>
        <w:t>: princípios básicos. Rio de Janeiro: Campus, 1997.</w:t>
      </w:r>
    </w:p>
    <w:p w:rsidR="00B10D19" w:rsidRDefault="00B10D19" w:rsidP="00B10D19">
      <w:pPr>
        <w:spacing w:before="80" w:after="80" w:line="360" w:lineRule="auto"/>
        <w:ind w:left="520" w:hanging="520"/>
        <w:jc w:val="both"/>
        <w:rPr>
          <w:lang w:val="en-US"/>
        </w:rPr>
      </w:pPr>
      <w:r>
        <w:rPr>
          <w:lang w:val="en-US"/>
        </w:rPr>
        <w:t xml:space="preserve">VERNON, R. International investment and international trade in the product cycle. </w:t>
      </w:r>
      <w:r>
        <w:rPr>
          <w:i/>
          <w:lang w:val="en-US"/>
        </w:rPr>
        <w:t>Quarterly Journal of Economics</w:t>
      </w:r>
      <w:r>
        <w:rPr>
          <w:lang w:val="en-US"/>
        </w:rPr>
        <w:t>, v.80, n.2, p190-207, 1966.</w:t>
      </w:r>
    </w:p>
    <w:p w:rsidR="00B10D19" w:rsidRPr="009F1F35" w:rsidRDefault="00B10D19" w:rsidP="00B10D19">
      <w:pPr>
        <w:pStyle w:val="Lista"/>
        <w:spacing w:line="360" w:lineRule="auto"/>
        <w:jc w:val="both"/>
        <w:rPr>
          <w:rFonts w:ascii="Times New Roman" w:hAnsi="Times New Roman"/>
          <w:sz w:val="24"/>
        </w:rPr>
      </w:pPr>
      <w:r>
        <w:rPr>
          <w:rFonts w:ascii="Times New Roman" w:hAnsi="Times New Roman"/>
          <w:sz w:val="24"/>
          <w:lang w:val="en-US"/>
        </w:rPr>
        <w:t xml:space="preserve">VERSIANI, F. R.. </w:t>
      </w:r>
      <w:r>
        <w:rPr>
          <w:rFonts w:ascii="Times New Roman" w:hAnsi="Times New Roman"/>
          <w:sz w:val="24"/>
        </w:rPr>
        <w:t xml:space="preserve">VERSIANI, M. T. R. O. A Industrialização Brasileira Antes de 1930: Uma Contribuição. In VERSIANI, F. R, BARROS, J. R. M. (orgs.) </w:t>
      </w:r>
      <w:r>
        <w:rPr>
          <w:rFonts w:ascii="Times New Roman" w:hAnsi="Times New Roman"/>
          <w:i/>
          <w:iCs/>
          <w:sz w:val="24"/>
        </w:rPr>
        <w:t>Formação Econômica do Brasil</w:t>
      </w:r>
      <w:r>
        <w:rPr>
          <w:rFonts w:ascii="Times New Roman" w:hAnsi="Times New Roman"/>
          <w:sz w:val="24"/>
        </w:rPr>
        <w:t xml:space="preserve">. </w:t>
      </w:r>
      <w:r w:rsidRPr="009F1F35">
        <w:rPr>
          <w:rFonts w:ascii="Times New Roman" w:hAnsi="Times New Roman"/>
          <w:sz w:val="24"/>
        </w:rPr>
        <w:t>São Paulo: Edição Saraiva, 1977.</w:t>
      </w:r>
    </w:p>
    <w:p w:rsidR="00B10D19" w:rsidRPr="008B5541" w:rsidRDefault="00B10D19" w:rsidP="00B10D19">
      <w:pPr>
        <w:spacing w:before="80" w:after="80" w:line="360" w:lineRule="auto"/>
        <w:ind w:left="520" w:hanging="520"/>
        <w:jc w:val="both"/>
        <w:rPr>
          <w:lang w:val="es-ES_tradnl"/>
        </w:rPr>
      </w:pPr>
      <w:r w:rsidRPr="008B5541">
        <w:rPr>
          <w:lang w:val="es-ES_tradnl"/>
        </w:rPr>
        <w:t xml:space="preserve">VILLAREAL, R. Economia Internacional: las teorias clássicas, neo-clássicas, del imperialismo – dependência </w:t>
      </w:r>
      <w:r>
        <w:rPr>
          <w:lang w:val="es-ES_tradnl"/>
        </w:rPr>
        <w:t>y</w:t>
      </w:r>
      <w:r w:rsidRPr="008B5541">
        <w:rPr>
          <w:lang w:val="es-ES_tradnl"/>
        </w:rPr>
        <w:t xml:space="preserve"> evidencia histórica. </w:t>
      </w:r>
      <w:r w:rsidRPr="008B5541">
        <w:rPr>
          <w:i/>
          <w:lang w:val="es-ES_tradnl"/>
        </w:rPr>
        <w:t>El Trimestre Económico</w:t>
      </w:r>
      <w:r w:rsidRPr="008B5541">
        <w:rPr>
          <w:lang w:val="es-ES_tradnl"/>
        </w:rPr>
        <w:t>, México, 46(2):377-460, abr/jun,1979.</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lang w:val="en-US"/>
        </w:rPr>
        <w:t xml:space="preserve">WADE, R. </w:t>
      </w:r>
      <w:r>
        <w:rPr>
          <w:rFonts w:ascii="Times New Roman" w:hAnsi="Times New Roman"/>
          <w:bCs/>
          <w:i/>
          <w:iCs/>
          <w:sz w:val="24"/>
          <w:lang w:val="en-US"/>
        </w:rPr>
        <w:t>Governing the Market</w:t>
      </w:r>
      <w:r>
        <w:rPr>
          <w:rFonts w:ascii="Times New Roman" w:hAnsi="Times New Roman"/>
          <w:bCs/>
          <w:sz w:val="24"/>
          <w:lang w:val="en-US"/>
        </w:rPr>
        <w:t>: economic theory and the role of government in East Asian industrialization.</w:t>
      </w:r>
      <w:r>
        <w:rPr>
          <w:rFonts w:ascii="Times New Roman" w:hAnsi="Times New Roman"/>
          <w:b/>
          <w:sz w:val="24"/>
          <w:lang w:val="en-US"/>
        </w:rPr>
        <w:t xml:space="preserve"> </w:t>
      </w:r>
      <w:r>
        <w:rPr>
          <w:rFonts w:ascii="Times New Roman" w:hAnsi="Times New Roman"/>
          <w:sz w:val="24"/>
        </w:rPr>
        <w:t>Princeton: Princeton University Press, 1990.</w:t>
      </w:r>
    </w:p>
    <w:p w:rsidR="00B10D19" w:rsidRDefault="00B10D19" w:rsidP="00B10D19">
      <w:pPr>
        <w:pStyle w:val="Lista"/>
        <w:spacing w:line="360" w:lineRule="auto"/>
        <w:jc w:val="both"/>
        <w:rPr>
          <w:rFonts w:ascii="Times New Roman" w:hAnsi="Times New Roman"/>
          <w:sz w:val="24"/>
        </w:rPr>
      </w:pPr>
      <w:r>
        <w:rPr>
          <w:rFonts w:ascii="Times New Roman" w:hAnsi="Times New Roman"/>
          <w:sz w:val="24"/>
        </w:rPr>
        <w:t xml:space="preserve">WILLIAMSON, J. </w:t>
      </w:r>
      <w:r>
        <w:rPr>
          <w:rFonts w:ascii="Times New Roman" w:hAnsi="Times New Roman"/>
          <w:i/>
          <w:iCs/>
          <w:sz w:val="24"/>
        </w:rPr>
        <w:t>Economia Aberta e a Economia Mundial</w:t>
      </w:r>
      <w:r>
        <w:rPr>
          <w:rFonts w:ascii="Times New Roman" w:hAnsi="Times New Roman"/>
          <w:sz w:val="24"/>
        </w:rPr>
        <w:t>. Rio de Janeiro: Campus, 1988.</w:t>
      </w:r>
    </w:p>
    <w:p w:rsidR="00B10D19" w:rsidRDefault="00B10D19" w:rsidP="00B10D19">
      <w:pPr>
        <w:spacing w:before="80" w:after="80" w:line="360" w:lineRule="auto"/>
        <w:ind w:left="520" w:hanging="520"/>
        <w:jc w:val="both"/>
        <w:rPr>
          <w:szCs w:val="20"/>
          <w:lang w:val="en-US"/>
        </w:rPr>
      </w:pPr>
      <w:r>
        <w:rPr>
          <w:szCs w:val="20"/>
          <w:lang w:val="en-US"/>
        </w:rPr>
        <w:t>WORLD BANK.  Globalization, Growth and Poverty. Washington, DC: World Bank, 2001.</w:t>
      </w:r>
    </w:p>
    <w:p w:rsidR="00B10D19" w:rsidRDefault="00B10D19" w:rsidP="00B10D19">
      <w:pPr>
        <w:pStyle w:val="Lista"/>
        <w:spacing w:line="360" w:lineRule="auto"/>
        <w:ind w:left="284" w:hanging="284"/>
        <w:jc w:val="both"/>
        <w:rPr>
          <w:rFonts w:ascii="Times New Roman" w:hAnsi="Times New Roman"/>
          <w:sz w:val="24"/>
          <w:lang w:val="en-US"/>
        </w:rPr>
      </w:pPr>
      <w:r>
        <w:rPr>
          <w:rFonts w:ascii="Times New Roman" w:hAnsi="Times New Roman"/>
          <w:sz w:val="24"/>
          <w:lang w:val="en-US"/>
        </w:rPr>
        <w:t xml:space="preserve">WORLD BANK. </w:t>
      </w:r>
      <w:r>
        <w:rPr>
          <w:rFonts w:ascii="Times New Roman" w:hAnsi="Times New Roman"/>
          <w:i/>
          <w:sz w:val="24"/>
          <w:lang w:val="en-US"/>
        </w:rPr>
        <w:t>Economic Growth in the 1990s</w:t>
      </w:r>
      <w:r>
        <w:rPr>
          <w:rFonts w:ascii="Times New Roman" w:hAnsi="Times New Roman"/>
          <w:sz w:val="24"/>
          <w:lang w:val="en-US"/>
        </w:rPr>
        <w:t>: learning from a decade of reform. Washington, DC: World Bank, 2005.</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WORLD BANK. </w:t>
      </w:r>
      <w:r>
        <w:rPr>
          <w:rFonts w:ascii="Times New Roman" w:hAnsi="Times New Roman"/>
          <w:i/>
          <w:iCs/>
          <w:sz w:val="24"/>
          <w:lang w:val="en-US"/>
        </w:rPr>
        <w:t>Global Development Finance, 2000</w:t>
      </w:r>
      <w:r>
        <w:rPr>
          <w:rFonts w:ascii="Times New Roman" w:hAnsi="Times New Roman"/>
          <w:sz w:val="24"/>
          <w:lang w:val="en-US"/>
        </w:rPr>
        <w:t>. Washington, DC: World Bank, 2000.</w:t>
      </w:r>
    </w:p>
    <w:p w:rsidR="00B10D19" w:rsidRDefault="00B10D19" w:rsidP="00B10D19">
      <w:pPr>
        <w:pStyle w:val="Lista"/>
        <w:spacing w:line="360" w:lineRule="auto"/>
        <w:jc w:val="both"/>
        <w:rPr>
          <w:rFonts w:ascii="Times New Roman" w:hAnsi="Times New Roman"/>
          <w:sz w:val="24"/>
          <w:lang w:val="en-US"/>
        </w:rPr>
      </w:pPr>
      <w:r>
        <w:rPr>
          <w:rFonts w:ascii="Times New Roman" w:hAnsi="Times New Roman"/>
          <w:sz w:val="24"/>
          <w:lang w:val="en-US"/>
        </w:rPr>
        <w:t xml:space="preserve">WORLD BANK. </w:t>
      </w:r>
      <w:r>
        <w:rPr>
          <w:rFonts w:ascii="Times New Roman" w:hAnsi="Times New Roman"/>
          <w:bCs/>
          <w:i/>
          <w:iCs/>
          <w:sz w:val="24"/>
          <w:lang w:val="en-US"/>
        </w:rPr>
        <w:t>The East Asian Miracle</w:t>
      </w:r>
      <w:r>
        <w:rPr>
          <w:rFonts w:ascii="Times New Roman" w:hAnsi="Times New Roman"/>
          <w:bCs/>
          <w:sz w:val="24"/>
          <w:lang w:val="en-US"/>
        </w:rPr>
        <w:t>:</w:t>
      </w:r>
      <w:r>
        <w:rPr>
          <w:rFonts w:ascii="Times New Roman" w:hAnsi="Times New Roman"/>
          <w:sz w:val="24"/>
          <w:lang w:val="en-US"/>
        </w:rPr>
        <w:t xml:space="preserve"> economic growth and public policy. New York: Oxford University Press, 1993.</w:t>
      </w:r>
    </w:p>
    <w:p w:rsidR="00B10D19" w:rsidRDefault="00B10D19" w:rsidP="00B10D19">
      <w:pPr>
        <w:spacing w:before="80" w:after="80" w:line="360" w:lineRule="auto"/>
        <w:ind w:left="520" w:hanging="520"/>
        <w:jc w:val="both"/>
        <w:rPr>
          <w:lang w:val="en-US"/>
        </w:rPr>
      </w:pPr>
      <w:r>
        <w:rPr>
          <w:lang w:val="en-US"/>
        </w:rPr>
        <w:t xml:space="preserve">ZYSMAN, J. </w:t>
      </w:r>
      <w:r>
        <w:rPr>
          <w:bCs/>
          <w:i/>
          <w:iCs/>
          <w:lang w:val="en-US"/>
        </w:rPr>
        <w:t>Government, Markets and Growth</w:t>
      </w:r>
      <w:r>
        <w:rPr>
          <w:bCs/>
          <w:lang w:val="en-US"/>
        </w:rPr>
        <w:t>: financial systems and politics of industrial change.</w:t>
      </w:r>
      <w:r>
        <w:rPr>
          <w:b/>
          <w:lang w:val="en-US"/>
        </w:rPr>
        <w:t xml:space="preserve"> </w:t>
      </w:r>
      <w:r>
        <w:rPr>
          <w:lang w:val="en-US"/>
        </w:rPr>
        <w:t>Ithaca: Cornell University Press, 1983.</w:t>
      </w:r>
    </w:p>
    <w:p w:rsidR="00B10D19" w:rsidRPr="008C2EC7" w:rsidRDefault="00B10D19" w:rsidP="00B10D19">
      <w:pPr>
        <w:spacing w:before="80" w:after="80" w:line="360" w:lineRule="auto"/>
        <w:ind w:left="520" w:hanging="520"/>
        <w:jc w:val="both"/>
      </w:pPr>
    </w:p>
    <w:p w:rsidR="00B10D19" w:rsidRPr="008C2EC7" w:rsidRDefault="00B10D19" w:rsidP="00B10D19">
      <w:pPr>
        <w:spacing w:before="80" w:after="80" w:line="360" w:lineRule="auto"/>
        <w:ind w:left="520" w:hanging="520"/>
        <w:jc w:val="both"/>
      </w:pPr>
    </w:p>
    <w:p w:rsidR="00B10D19" w:rsidRPr="008C2EC7" w:rsidRDefault="00B10D19" w:rsidP="00B10D19">
      <w:pPr>
        <w:spacing w:before="80" w:after="80" w:line="360" w:lineRule="auto"/>
        <w:ind w:left="520" w:hanging="520"/>
        <w:jc w:val="both"/>
      </w:pPr>
    </w:p>
    <w:p w:rsidR="00B10D19" w:rsidRPr="008C2EC7" w:rsidRDefault="00B10D19" w:rsidP="00B10D19">
      <w:pPr>
        <w:spacing w:line="360" w:lineRule="auto"/>
        <w:ind w:left="708"/>
        <w:jc w:val="both"/>
        <w:rPr>
          <w:szCs w:val="20"/>
        </w:rPr>
      </w:pPr>
    </w:p>
    <w:p w:rsidR="00B10D19" w:rsidRPr="008C2EC7" w:rsidRDefault="00B10D19" w:rsidP="00B10D19">
      <w:pPr>
        <w:spacing w:line="360" w:lineRule="auto"/>
        <w:ind w:left="708"/>
        <w:jc w:val="both"/>
        <w:rPr>
          <w:szCs w:val="20"/>
        </w:rPr>
      </w:pPr>
    </w:p>
    <w:p w:rsidR="00B10D19" w:rsidRPr="008C2EC7" w:rsidRDefault="00B10D19" w:rsidP="00B10D19">
      <w:pPr>
        <w:spacing w:line="360" w:lineRule="auto"/>
        <w:ind w:left="708"/>
        <w:jc w:val="both"/>
        <w:rPr>
          <w:szCs w:val="20"/>
        </w:rPr>
      </w:pPr>
    </w:p>
    <w:p w:rsidR="009F27DA" w:rsidRDefault="009F27DA"/>
    <w:sectPr w:rsidR="009F27DA" w:rsidSect="00253BCA">
      <w:pgSz w:w="11900" w:h="16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E8542A" w:rsidRDefault="00E8542A" w:rsidP="00B10D19">
      <w:r>
        <w:separator/>
      </w:r>
    </w:p>
  </w:endnote>
  <w:endnote w:type="continuationSeparator" w:id="0">
    <w:p w:rsidR="00E8542A" w:rsidRDefault="00E8542A" w:rsidP="00B10D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E8542A" w:rsidRDefault="00E8542A" w:rsidP="00B10D19">
      <w:r>
        <w:separator/>
      </w:r>
    </w:p>
  </w:footnote>
  <w:footnote w:type="continuationSeparator" w:id="0">
    <w:p w:rsidR="00E8542A" w:rsidRDefault="00E8542A" w:rsidP="00B10D19">
      <w:r>
        <w:continuationSeparator/>
      </w:r>
    </w:p>
  </w:footnote>
  <w:footnote w:id="1">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Ver Hobsbawm (1977, 1982, 1988).</w:t>
      </w:r>
    </w:p>
  </w:footnote>
  <w:footnote w:id="2">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Cuja diferenciação e entropia haviam se acentuado após a queda do Império Romano do Ocidente, a despeito da universalização da religião católica e, em parte, do Modo de Produção Feudal.</w:t>
      </w:r>
    </w:p>
  </w:footnote>
  <w:footnote w:id="3">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Numa ordem de classes a estratificação é estritamente econômica, definindo-se pelo nível de renda e propriedade de riqueza; numa ordem estamental, a estratificação envolve elementos extra-econômicos, associados, via de regra, à linhagem e à ascendência familiar (que distinguem patrícios e plebeus, na sociedade romana, ou nobres e plebeus na sociedade feudal), bem como às funções sociais (que distinguem, por exemplo, os sacerdotes, nos mais diversos sistemas teocráticos; ou os letrados em sistemas sociais em que o acesso à escrita é circunscrito; ou os guerreiros, em que a circunscrição fundamental diz respeito à posse de armas).  </w:t>
      </w:r>
    </w:p>
  </w:footnote>
  <w:footnote w:id="4">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A este respeito, veja-se Faoro, 1975, capítulo primeiro, terceira seção.</w:t>
      </w:r>
    </w:p>
  </w:footnote>
  <w:footnote w:id="5">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O “exclusivo metropolitano” é a circunscrição da comercialização com as colônias ao capital mercantil da metrópole (vide Novais, 1981, pp.72 e segs). Além disso, o mercantilismo busca estimular o aprofundamento da circulação mercantil na Metrópole através de uma série de medidas em que se salienta a expansão da disponibilidade interna de meios de troca, seja através do estimulo à obtenção de saldos positivos na Balança de Pagamentos, seja pela imposição da circulação de moedas de valor intrínseco inferior ao valor legal. Estes mecanismos de ampliação dos meios de pagamento geram novos impulsos à mercantilização da economia, seja pela ampliação da demanda pública financiada pela emissão¸ seja pela desvalorização das dívidas associada à inflação, seja pela queda da taxa de juros derivada da maior disponibilidade de fundos para empréstimo.</w:t>
      </w:r>
    </w:p>
  </w:footnote>
  <w:footnote w:id="6">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Tais características, bem como a associação estreita entre a expansão comercial européia e conformação da estrutura econômica, política e social do Brasil, aparecem, com destaque, nos intérpretes de distintas tradições teóricas, de marxistas como Caio Prado Jr., passando por keynesianos e desenvolvimentistas como Celso Furtado, até economistas de formação neoclássica (locais e “brazilianistas”) como, por exemplo, Baer (2001). </w:t>
      </w:r>
    </w:p>
  </w:footnote>
  <w:footnote w:id="7">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Um caso extremo de afastamento da norma é a colonização inglesa no norte da América. A dificuldade de se constituir, nestas regiões, sistemas rentáveis de produção-exportação de bens “exóticos” e metais preciosos (dadas as semelhanças das condições climáticas com a Europa e a ausência de recursos minerais significativos assim como de sociedades pré-colombianas produtoras de um significativo excedente expropriável e comercializável), associadas às características peculiares de transição inglesa para o capitalismo (que passou pela formação de segmentos populacionais tão identificados com padrões burgueses de sociabilidade que seu grau de antagonismo à velha ordem se desdobrou, de um lado, na Revolução Puritana, e, de outro, na emigração da Metrópole e na constituição de colônias de povoamento na América) determinou que as primeiras colônias inglesas no Novo Mundo não tenham se desenvolvido sobre a égide do Antigo Sistema Colonial. Vale dizer, não foram vitimas do padrão de espoliação colonial do período, podendo internalizar a maior parte do excedente gerado nas mesmas. Esta peculiaridade de origem é fundamental na explicação do posterior desenvolvimento econômico destas regiões. </w:t>
      </w:r>
      <w:r>
        <w:rPr>
          <w:rFonts w:ascii="Times New Roman" w:hAnsi="Times New Roman"/>
          <w:bCs/>
          <w:sz w:val="18"/>
          <w:lang w:val="pt-BR"/>
        </w:rPr>
        <w:t xml:space="preserve">Por isso mesmo, qualquer tentativa (teoricamente válida e relevante!) de comparação das conseqüências diversas da colonização americana portuguesa e espanhola, por um lado, e inglesa, francesa e holandesa, por outro, deve, a principio, se restringir àqueles países que sofreram um </w:t>
      </w:r>
      <w:r>
        <w:rPr>
          <w:rFonts w:ascii="Times New Roman" w:hAnsi="Times New Roman"/>
          <w:b/>
          <w:bCs/>
          <w:sz w:val="18"/>
          <w:lang w:val="pt-BR"/>
        </w:rPr>
        <w:t>padrão similar de colonização</w:t>
      </w:r>
      <w:r>
        <w:rPr>
          <w:rFonts w:ascii="Times New Roman" w:hAnsi="Times New Roman"/>
          <w:bCs/>
          <w:sz w:val="18"/>
          <w:lang w:val="pt-BR"/>
        </w:rPr>
        <w:t>: a totalidade da América Ibérica e as Antilhas e Guianas Francesas, Inglesas e Holandesas.</w:t>
      </w:r>
      <w:r>
        <w:rPr>
          <w:rFonts w:ascii="Times New Roman" w:hAnsi="Times New Roman"/>
          <w:sz w:val="18"/>
          <w:lang w:val="pt-BR"/>
        </w:rPr>
        <w:t xml:space="preserve"> </w:t>
      </w:r>
    </w:p>
  </w:footnote>
  <w:footnote w:id="8">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O que não envolve negar o fato de que a forma concreta assumida por este padrão de espoliação será influenciado pela disponibilidade relativa de recursos internos exploráveis: abundância de terras férteis aptas à produção de bens “exóticos como açúcar, tabaco, etc; disponibilidade restrita de mão-de-obra silvícola apta à exploração sob regime servil; desconhecimento de minas de metais preciosos, num primeiro momento; rápido esgotamento das minas auríferas, após a sua descoberta, etc. Não obstante, é pelo centro </w:t>
      </w:r>
      <w:r>
        <w:rPr>
          <w:rFonts w:ascii="Times New Roman" w:hAnsi="Times New Roman"/>
          <w:b/>
          <w:sz w:val="18"/>
          <w:lang w:val="pt-BR"/>
        </w:rPr>
        <w:t>gestor</w:t>
      </w:r>
      <w:r>
        <w:rPr>
          <w:rFonts w:ascii="Times New Roman" w:hAnsi="Times New Roman"/>
          <w:sz w:val="18"/>
          <w:lang w:val="pt-BR"/>
        </w:rPr>
        <w:t xml:space="preserve"> e </w:t>
      </w:r>
      <w:r>
        <w:rPr>
          <w:rFonts w:ascii="Times New Roman" w:hAnsi="Times New Roman"/>
          <w:b/>
          <w:sz w:val="18"/>
          <w:lang w:val="pt-BR"/>
        </w:rPr>
        <w:t>motor</w:t>
      </w:r>
      <w:r>
        <w:rPr>
          <w:rFonts w:ascii="Times New Roman" w:hAnsi="Times New Roman"/>
          <w:sz w:val="18"/>
          <w:lang w:val="pt-BR"/>
        </w:rPr>
        <w:t xml:space="preserve"> da relação colonial - vale dizer, por Portugal -, e não diretamente pelo Brasil, que se deve </w:t>
      </w:r>
      <w:r>
        <w:rPr>
          <w:rFonts w:ascii="Times New Roman" w:hAnsi="Times New Roman"/>
          <w:b/>
          <w:sz w:val="18"/>
          <w:lang w:val="pt-BR"/>
        </w:rPr>
        <w:t>iniciar</w:t>
      </w:r>
      <w:r>
        <w:rPr>
          <w:rFonts w:ascii="Times New Roman" w:hAnsi="Times New Roman"/>
          <w:sz w:val="18"/>
          <w:lang w:val="pt-BR"/>
        </w:rPr>
        <w:t xml:space="preserve"> qualquer tentativa de compreensão da dinâmica colonial brasileira</w:t>
      </w:r>
    </w:p>
  </w:footnote>
  <w:footnote w:id="9">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A particularidade da formação sócio-econômica medieval portuguesa é tão gritante que mesmo um defensor da vigência do modo de produção feudal em Portugal até a emergência do capitalismo, admite que “no Estado português, que começou a se formar no século XII, não se constituíram feudos” (Gorender, 1980, p. 113; o grifo é meu). Vale dizer, para Gorender, Portugal teria um “feudalismo sem feudos”! A tese oposta – de que, não só Portugal, mas toda a Península Ibérica desconheceu o feudalismo - é defendida brilhantemente por Raymundo Faoro (FAORO, 1975, caps. 1, 2, 3 e 4). Esta tese recebe de Marx e de Engels um apoio, circunstancial, mas instigante. Em um trabalho sobre a Espanha, ambos afirmam: “a monarquia espanhola ... só se parece superficialmente às monarquias européias em geral, [e] deve ser classificada, preferencialmente, ao lado das formas asiáticas de governo. (MARX e ENGELS, 1966). Para que se entenda a distinção entre modo de produção feudal e modo de produção asiático em Marx, bem como a importância desta última categoria em sua teoria da História, veja-se SOFRI, 1977.  </w:t>
      </w:r>
    </w:p>
  </w:footnote>
  <w:footnote w:id="10">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A “Coroa” é entendida, aqui, como a </w:t>
      </w:r>
      <w:r>
        <w:rPr>
          <w:rFonts w:ascii="Times New Roman" w:hAnsi="Times New Roman"/>
          <w:b/>
          <w:sz w:val="18"/>
          <w:lang w:val="pt-BR"/>
        </w:rPr>
        <w:t>síntese</w:t>
      </w:r>
      <w:r>
        <w:rPr>
          <w:rFonts w:ascii="Times New Roman" w:hAnsi="Times New Roman"/>
          <w:sz w:val="18"/>
          <w:lang w:val="pt-BR"/>
        </w:rPr>
        <w:t xml:space="preserve"> entre o rei e a nova nobreza, vale dizer, entre o rei e o estamento burocrático que emerge no processo de construção dos Estados absolutistas. A consolidação da nova nobreza portuguesa se dará a partir da Revolução de Avis (1383-85), quando foram varridos os últimos fumos feudais da nobreza terratenente. Só então se constituirá um Estado com um corpo burocrático estamental apto a promover a expansão mercantilista nos termos que caracterizam, de forma geral, as políticas públicas do Antigo Regime europeu na Idade Moderna. </w:t>
      </w:r>
    </w:p>
  </w:footnote>
  <w:footnote w:id="11">
    <w:p w:rsidR="00B10D19" w:rsidRPr="004E6FF0"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O Estado patrimonial se caracteriza por uma apropriação do excedente econômico significativamente superior ao necessário para o exercício de suas funções especificamente burguesas (quais sejam: a garantia da propriedade privada, da reprodução da força de trabalho e da ordem social competitiva). A parcela “excedentária do excedente” apropriada pelo poder público é </w:t>
      </w:r>
      <w:r w:rsidRPr="004E6FF0">
        <w:rPr>
          <w:rFonts w:ascii="Times New Roman" w:hAnsi="Times New Roman"/>
          <w:b/>
          <w:bCs/>
          <w:sz w:val="18"/>
          <w:lang w:val="pt-BR"/>
        </w:rPr>
        <w:t>redistribuída</w:t>
      </w:r>
      <w:r>
        <w:rPr>
          <w:rFonts w:ascii="Times New Roman" w:hAnsi="Times New Roman"/>
          <w:sz w:val="18"/>
          <w:lang w:val="pt-BR"/>
        </w:rPr>
        <w:t xml:space="preserve"> para a acumulação e/ou o consumo privados de agentes sociais privilegiados (governantes, lideranças político-militares, alta burocracia, segmentos burgueses detentores de monopólios públicos e/ou prestadores de serviços e/ou receptores de vantagens e subsídios os mais diversos, etc.). </w:t>
      </w:r>
      <w:r>
        <w:rPr>
          <w:rFonts w:ascii="Times New Roman" w:hAnsi="Times New Roman"/>
          <w:b/>
          <w:bCs/>
          <w:sz w:val="18"/>
          <w:lang w:val="pt-BR"/>
        </w:rPr>
        <w:t xml:space="preserve">O fundamento do patrimonialismo é, pois, a apropriação privatista de parcela das rendas públicas pelo estrato dominante não-burguês que controla um Estado com grande poder de exação fiscal, intervencionista e, via de regra, economicamente empreendedor. O patrimônio público se confunde com o patrimônio privado dos gestores da coisa pública. </w:t>
      </w:r>
      <w:r>
        <w:rPr>
          <w:rFonts w:ascii="Times New Roman" w:hAnsi="Times New Roman"/>
          <w:sz w:val="18"/>
          <w:lang w:val="pt-BR"/>
        </w:rPr>
        <w:t xml:space="preserve">Neste sentido, o feudalismo também é uma espécie de patrimonialismo. Mas a forma feudal envolve a diluição do Estado nos feudos: é como se o poder privado localista se apropriasse de uma parcela do que </w:t>
      </w:r>
      <w:r w:rsidRPr="004E6FF0">
        <w:rPr>
          <w:rFonts w:ascii="Times New Roman" w:hAnsi="Times New Roman"/>
          <w:b/>
          <w:bCs/>
          <w:sz w:val="18"/>
          <w:lang w:val="pt-BR"/>
        </w:rPr>
        <w:t>foi</w:t>
      </w:r>
      <w:r>
        <w:rPr>
          <w:rFonts w:ascii="Times New Roman" w:hAnsi="Times New Roman"/>
          <w:sz w:val="18"/>
          <w:lang w:val="pt-BR"/>
        </w:rPr>
        <w:t xml:space="preserve"> o Estado (cuja própria existência é posta em xeque). Ao contrário, no patrimonialismo puro, são os direitos privados e a sociedade civil que é “expropriada” pelo Estado. As leis, regras e instituições não existem como instrumento de garantias e limitação do poder público: existem como instrumentos de exercício de um poder do Estado sobre a sociedade civil. Por isto mesmo, as leis, regras e instituições são cambiantes e “interpretadas” conforme as conveniências. A sabedoria popular expressa este padrão de organização social em alguns ditados, tais como “pau que bate em Chico, não bate em Francisco”.</w:t>
      </w:r>
    </w:p>
  </w:footnote>
  <w:footnote w:id="12">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Estamos chamando de “</w:t>
      </w:r>
      <w:r w:rsidRPr="00694F1A">
        <w:rPr>
          <w:rFonts w:ascii="Times New Roman" w:hAnsi="Times New Roman"/>
          <w:b/>
          <w:bCs/>
          <w:sz w:val="18"/>
          <w:lang w:val="pt-BR"/>
        </w:rPr>
        <w:t>colonos</w:t>
      </w:r>
      <w:r>
        <w:rPr>
          <w:rFonts w:ascii="Times New Roman" w:hAnsi="Times New Roman"/>
          <w:sz w:val="18"/>
          <w:lang w:val="pt-BR"/>
        </w:rPr>
        <w:t>” os reinóis (ou estrangeiros) que imigravam para a colônia brasileira por vontade livre, em busca do enriquecimento (ou, pelo menos, de melhoria nas suas condições de vida). A estes se contrapõem, de um lado, os “</w:t>
      </w:r>
      <w:r w:rsidRPr="00694F1A">
        <w:rPr>
          <w:rFonts w:ascii="Times New Roman" w:hAnsi="Times New Roman"/>
          <w:b/>
          <w:bCs/>
          <w:sz w:val="18"/>
          <w:lang w:val="pt-BR"/>
        </w:rPr>
        <w:t>colonizados</w:t>
      </w:r>
      <w:r>
        <w:rPr>
          <w:rFonts w:ascii="Times New Roman" w:hAnsi="Times New Roman"/>
          <w:sz w:val="18"/>
          <w:lang w:val="pt-BR"/>
        </w:rPr>
        <w:t>” – índios e africanos, escravos ou libertos – e, de outro lado, os “</w:t>
      </w:r>
      <w:r w:rsidRPr="00694F1A">
        <w:rPr>
          <w:rFonts w:ascii="Times New Roman" w:hAnsi="Times New Roman"/>
          <w:b/>
          <w:bCs/>
          <w:sz w:val="18"/>
          <w:lang w:val="pt-BR"/>
        </w:rPr>
        <w:t>colonizadores</w:t>
      </w:r>
      <w:r>
        <w:rPr>
          <w:rFonts w:ascii="Times New Roman" w:hAnsi="Times New Roman"/>
          <w:sz w:val="18"/>
          <w:lang w:val="pt-BR"/>
        </w:rPr>
        <w:t>” – membros do estamento burocrático e do capital mercantil. Estes últimos têm sua sede e domicílio principal na Metrópole.</w:t>
      </w:r>
    </w:p>
  </w:footnote>
  <w:footnote w:id="13">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A este respeito, veja-se Fernandes, 1977, pp. 37 e segs. Muito provavelmente, este arranjo perverso - que garante a subordinação dos colonos pelo </w:t>
      </w:r>
      <w:r w:rsidRPr="00694F1A">
        <w:rPr>
          <w:rFonts w:ascii="Times New Roman" w:hAnsi="Times New Roman"/>
          <w:b/>
          <w:bCs/>
          <w:sz w:val="18"/>
          <w:lang w:val="pt-BR"/>
        </w:rPr>
        <w:t>temor a uma lei que, formalmente justa, é instituída para não ser cumprida</w:t>
      </w:r>
      <w:r>
        <w:rPr>
          <w:rFonts w:ascii="Times New Roman" w:hAnsi="Times New Roman"/>
          <w:sz w:val="18"/>
          <w:lang w:val="pt-BR"/>
        </w:rPr>
        <w:t xml:space="preserve"> – se encontra nas raízes daquela expressão que é uma das mais agudas sínteses do padrão político nacional: “para os amigos, tudo; para os inimigos, a lei”.   </w:t>
      </w:r>
    </w:p>
  </w:footnote>
  <w:footnote w:id="14">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De acordo com Prado Jr. (1942).</w:t>
      </w:r>
    </w:p>
  </w:footnote>
  <w:footnote w:id="15">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Malgrado a diferença de referenciais teóricos </w:t>
      </w:r>
      <w:r>
        <w:rPr>
          <w:rFonts w:ascii="Times New Roman" w:hAnsi="Times New Roman"/>
          <w:i/>
          <w:sz w:val="18"/>
          <w:lang w:val="pt-BR"/>
        </w:rPr>
        <w:t xml:space="preserve">vis-à-vis </w:t>
      </w:r>
      <w:r>
        <w:rPr>
          <w:rFonts w:ascii="Times New Roman" w:hAnsi="Times New Roman"/>
          <w:sz w:val="18"/>
          <w:lang w:val="pt-BR"/>
        </w:rPr>
        <w:t xml:space="preserve">os autores que vêm orientando nossas reflexões até aqui (em particular, Faoro, Novais e Florestan), </w:t>
      </w:r>
      <w:r>
        <w:rPr>
          <w:rFonts w:ascii="Times New Roman" w:hAnsi="Times New Roman"/>
          <w:bCs/>
          <w:iCs/>
          <w:sz w:val="18"/>
          <w:lang w:val="pt-BR"/>
        </w:rPr>
        <w:t xml:space="preserve">a convergência de resultados com Furtado, que virtualmente ignora a dimensão especificamente pré-capitalista da espoliação colonial, apenas reforça as teses aqui expostas.  </w:t>
      </w:r>
    </w:p>
  </w:footnote>
  <w:footnote w:id="16">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A fugaz prosperidade do Maranhão, que se especializa na produção de algodão no último quartel do século XVIII, é a prova – apenas aparentemente negativa – deste fato. A despeito do extraordinário crescimento da demanda internacional por esta matéria-prima têxtil, da luta da indústria inglesa por se libertar de sua dependência do fornecimento norte-americano, e da solidez das relações comerciais e políticas de Portugal (e, posteriormente, do Império do Brasil) com o Reino Unido, não se conseguirá consolidar um pólo produtor competitivo deste produto em terras brasileiras.  </w:t>
      </w:r>
    </w:p>
  </w:footnote>
  <w:footnote w:id="17">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Vale observar, que a baixa expectativa de vida não é inerente à escravidão em geral, nem à escravidão colonial em particular. A despeito do tráfico de africanos haver sido proibido nos EUA em 1808, a população escrava quadruplicou até o Censo de 1860, quando foram contabilizados 4 milhões de escravos. Diferentemente, no Brasil a mortalidade era precoce e superava em muito a natalidade da população escrava, de forma que o tráfico se impunha como condição para a sustentabilidade da referida relação de produção. A principal determinação da baixa longevidade no Brasil parece ser a crônica sobrexploração do trabalho escravo e as miseráveis condições de vida dos mesmos. Esta foi a “solução” encontrada pelo senhoriato para minimizar os elevadíssimos custos com a aquisição da mão-de-obra escrava, que são imanentes ao Antigo Sistema Colonial luso-brasileiro. Sobre a evolução dos custos de aquisição de escravos (preços e juros na venda financiada), lucratividade do tráfico vide Gorender (1980, pp. 517 e segs); sobre a eficácia da sobrexploração para garantir a lucratividade da atividade agrícola, vide Gorender (1980, pp. 320 e segs).</w:t>
      </w:r>
    </w:p>
  </w:footnote>
  <w:footnote w:id="18">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Apesar do caráter essencialmente formal e oportunista da elevação do Brasil à condição de parte do Reino-Unido com Portugal e Algarves (associado que foi à realização do Congresso de Viena de 1815, responsável pelo redesenho do mapa europeu pós-Napoleão, onde Portugal procurava se apresentar como grande potência territorial), este ato comportava um forte simbolismo na medida em que envolvia o reconhecimento institucional de que (ao contrário de Angola, Moçambique, Cabo Verde e demais colônias do Império Português), a economia e a sociedade brasileira havia conquistado um grau de desenvolvimento incompatível com o estatuto colonial.  </w:t>
      </w:r>
    </w:p>
  </w:footnote>
  <w:footnote w:id="19">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Mais do que na transição republicana – quando, a participação popular será mínima (a despeito das exceções representadas pela Revolução Federalista, no Rio Grande do Sul, ou por Canudos, na Bahia) -, é no ciclo das insurreições senhoriais da revolução da Independência que o povo brasileiro fará o seu batizado de fogo no plano político. Em particular aquelas rebeliões que trasbordaram os limites das reivindicações senhoriais foram abafadas com extrema violência. O exemplo mais trágico é a Cabanagem: calcula-se que 30 mil pessoas – um quarto da população do Pará no período – tenha sido morta na repressão à revolta popular (Caldeira, 1997, p. 185; no mesmo sentido, Nabuco, 1949, p. 10). Seria interessante pesquisar o quanto a apatia posterior de nosso povo - que tanto escandalizou e escandaliza analistas políticos críticos dos mais diversos matizes – tem suas raízes fincadas neste importante, mas, no plano das demandas democráticas, trágico, período da nossa História. </w:t>
      </w:r>
    </w:p>
  </w:footnote>
  <w:footnote w:id="20">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Como se sabe, o tráfico será sustentado até 1850, a despeito das fortes pressões inglesas em contrário. É bem verdade que já em 1831 a Câmara votou e aprovou, pela primeira vez, o fim do “odioso comércio”. Mas a deliberação não teve qualquer efeito real, foi tomada meramente “para inglês ver”. Isto demonstra, de um lado, que as pressões da maior potência industrial do período, rainha dos mares e das finanças mundiais, não podiam ser ignoradas; mas também demonstra, de outro lado, que o Estado nacional representava segmentos e interesses </w:t>
      </w:r>
      <w:r>
        <w:rPr>
          <w:rFonts w:ascii="Times New Roman" w:hAnsi="Times New Roman"/>
          <w:b/>
          <w:sz w:val="18"/>
          <w:lang w:val="pt-BR"/>
        </w:rPr>
        <w:t>nacionais</w:t>
      </w:r>
      <w:r>
        <w:rPr>
          <w:rFonts w:ascii="Times New Roman" w:hAnsi="Times New Roman"/>
          <w:sz w:val="18"/>
          <w:lang w:val="pt-BR"/>
        </w:rPr>
        <w:t xml:space="preserve"> (ainda que não democráticos, nem nacionalistas), e que sua autonomia, mesmo que limitada, era real e não meramente “para inglês ver”. </w:t>
      </w:r>
    </w:p>
  </w:footnote>
  <w:footnote w:id="21">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A quem interessar possa, recomendamos a leitura de “As Idéias fora do lugar” (Schwarz, 2000). Do nosso ponto de vista, esta é a denúncia mais clara, bem articulada e abrangente do caráter farsesco desta contradição que é o “liberalismo escravista imperial brasileiro”. </w:t>
      </w:r>
    </w:p>
  </w:footnote>
  <w:footnote w:id="22">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Aqueles que viram “feudalismo” no Brasil monárquico (e na Primeira República), não viram uma miragem. Seu equívoco se encontra apenas em tomar a parte pelo todo. De fato, o latifúndio ganha, então, um poder e uma autonomia que jamais conhecera. Só que o faz sem romper com o escravismo e com a produção mercantil de exportação. O que implica numa estrutura institucional centralizada, para garantir a segurança diante do inimigo interno (o escravo), e a negociação soberana com o adversário externo – o novo capital comercial internacional, ansioso pelo aprofundamento da ordem social competitiva internamente. O liberalismo será o instrumento da compatibilização desta exigência contraditória de um Estado forte e débil.</w:t>
      </w:r>
    </w:p>
  </w:footnote>
  <w:footnote w:id="23">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A particularidade da produção agropecuária é que o mercado para seus produtos opera em condições muito próximas às da concorrência perfeita. A este respeito, vejam-se os primeiros capítulos da seção de Microeconomia deste livro.   </w:t>
      </w:r>
    </w:p>
  </w:footnote>
  <w:footnote w:id="24">
    <w:p w:rsidR="00B10D19" w:rsidRPr="002D3F61" w:rsidRDefault="00B10D19" w:rsidP="00B10D19">
      <w:pPr>
        <w:pStyle w:val="Textodenotaderodap"/>
        <w:rPr>
          <w:rFonts w:ascii="Times New Roman" w:hAnsi="Times New Roman"/>
          <w:b/>
          <w:bCs/>
          <w:sz w:val="18"/>
          <w:lang w:val="pt-BR"/>
        </w:rPr>
      </w:pPr>
      <w:r>
        <w:rPr>
          <w:rStyle w:val="Refdenotaderodap"/>
        </w:rPr>
        <w:footnoteRef/>
      </w:r>
      <w:r>
        <w:rPr>
          <w:rFonts w:ascii="Times New Roman" w:hAnsi="Times New Roman"/>
          <w:sz w:val="18"/>
          <w:lang w:val="pt-BR"/>
        </w:rPr>
        <w:t xml:space="preserve"> A defesa (e conquista) do parlamentarismo e a luta contra a Constituição outorgada de 1824 são duas faces da mesma moeda. O que o senhoriato expressa nestas lutas é a clareza da necessidade de </w:t>
      </w:r>
      <w:r w:rsidRPr="002D3F61">
        <w:rPr>
          <w:rFonts w:ascii="Times New Roman" w:hAnsi="Times New Roman"/>
          <w:b/>
          <w:bCs/>
          <w:sz w:val="18"/>
          <w:lang w:val="pt-BR"/>
        </w:rPr>
        <w:t>controlar plenamente (e sem mediações do Imperador) o Orçamento e o Gabinete (o Executivo).</w:t>
      </w:r>
    </w:p>
  </w:footnote>
  <w:footnote w:id="25">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Em 1831, D. Pedro é expulso. Em 1834, promulga-se o Ato Adicional à Constituição que ampliava autonomia política e de gestão de recursos das províncias e municípios. Não obstante, os conflitos e insurreições vão perdurar até o final da primeira metade do século XIX. Já em 1835, um ano após o Ato Adicional, tem início a mais longeva das revoltas provinciais, a Farroupilha, que só se encerrará dez anos depois.</w:t>
      </w:r>
    </w:p>
  </w:footnote>
  <w:footnote w:id="26">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O Coronel é a mais alta patente local da Guarda Nacional. Esta instituição foi criada em 1831 com vistas a garantir a ordem interna a partir da prestação gratuita de serviços militares por parte dos proprietários rurais e seus dependentes. Para além de uma iniciativa de depressão de custos com a manutenção do Exército (cujos efetivos caem de 30 mil para 10 mil no período regencial), ela se volta à consolidação do poder senhorial e à depressão do poder da alta oficialidade das forças armadas, usualmente comprometidoa com o patrimonialismo anti-liberal do estamento burocrático alijado do poder pela Revolução da Independência.  </w:t>
      </w:r>
    </w:p>
  </w:footnote>
  <w:footnote w:id="27">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O café é extraído das sementes do cafeeiro, um arbusto que gera os primeiros frutos entre 2 e 3 anos após o plantio e só atinge sua máxima produção após o quarto ano.  </w:t>
      </w:r>
    </w:p>
  </w:footnote>
  <w:footnote w:id="28">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Vale observar que este resultado só foi possível em função da transmigração. Foi ela que amainou os conflitos inerentes à Revolução da Independência, simplificou a construção de uma institucionalidade consistente com a reinserção no novo circuito comercial internacional e garantiu a internalização de um capital mercantil apto a financiar o novo emprendimento. Igualmente fundamental para o resultado alcançado foi a sustentação da escravidão e do tráfico negreiro, pois a existências de terras desocupadas ainda configurava um limite intransponível à adoção do assalariamento. Vale dizer: dada a estrutura fundiária nacional, se houvesse sido extinto a escravidão, só restaria ao latifúndio a opção da autarquização. </w:t>
      </w:r>
    </w:p>
  </w:footnote>
  <w:footnote w:id="29">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A abundância de terras e o elevado preço da escravaria tornavam irracional dedicar uma parcela expressiva do tempo de trabalho à preservação do solo. Ao lado disso, o escravo usualmente resiste ao trabalho resistindo à aprendizagem de novas e mais sofisticadas técnicas de cultivo. Por fim, o absenteísmo típico do senhoriato e a inexistência de um segmento social produtor propriamente empresarial comprometia o acompanhamento da dinâmica da produção, de sorte que a exaustão do solo usualmente só era percebida quando já não havia condições de recuperá-lo plenamente.  </w:t>
      </w:r>
    </w:p>
  </w:footnote>
  <w:footnote w:id="30">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O Barão de Mauá é a expressão arquetípica, mas de forma alguma singular, desta nova fração burguesa emergente.</w:t>
      </w:r>
    </w:p>
  </w:footnote>
  <w:footnote w:id="31">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Com dificuldade para ingressar na produção cafeeira em função do elevado prazo de maturação dos investimentos, os produtores do planalto paulista (por oposição aos produtores do Vale do Paraíba paulista, mera extensão do Vale do Paraíba fluminense) privilegiavam a agricultura temporária, em particular a produção de alimentos. A partir de 1860, contudo, com a elevação do preço do algodão associada à Guerra Civil americana, a região passa a produzir esta mercadoria intensiva em transporte, o que vai impor uma elevação substancial do plantel de mulas. Finda a Guerra Civil em 1865, a produção e comercialização norte-americana de algodão se reestrutura, deprimindo o preço do produto e afastando produtores brasileiros. É neste momento que a demanda do Exército nacional por mulas e víveres se impõe, viabilizando a monetização da riqueza que havia se tornada desnecessária com a ferrovia. A este respeito, veja-se Granziera, 1979, pp. 99 e segs.   </w:t>
      </w:r>
    </w:p>
  </w:footnote>
  <w:footnote w:id="32">
    <w:p w:rsidR="00B10D19" w:rsidRDefault="00B10D19" w:rsidP="00B10D19">
      <w:pPr>
        <w:pStyle w:val="Textodenotaderodap"/>
        <w:rPr>
          <w:lang w:val="pt-BR"/>
        </w:rPr>
      </w:pPr>
      <w:r>
        <w:rPr>
          <w:rStyle w:val="Refdenotaderodap"/>
        </w:rPr>
        <w:footnoteRef/>
      </w:r>
      <w:r>
        <w:rPr>
          <w:rFonts w:ascii="Times New Roman" w:hAnsi="Times New Roman"/>
          <w:sz w:val="18"/>
          <w:lang w:val="pt-BR"/>
        </w:rPr>
        <w:t xml:space="preserve"> O melhor estudo sobre as atividades mercantis dos proprietários paulistas e do sul de Minas encontra-se em Lenharo, 1979, em especial o capítulo V. Igualmente importante é o testemunho dado por Saint-Hilaire, 1974, pp. 37 e segs.</w:t>
      </w:r>
    </w:p>
  </w:footnote>
  <w:footnote w:id="33">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Positivismo é a filosofia inaugurada por Auguste Comte (1798-1857) na primeira metade do século XIX e que, entre outras características, faz a defesa de um Estado forte e centralizado para administrar e dirimir as tensões sociais típicas do capitalismo emergente e apoiar os processos de modernização da economia e da sociedade.  </w:t>
      </w:r>
    </w:p>
  </w:footnote>
  <w:footnote w:id="34">
    <w:p w:rsidR="00B10D19" w:rsidRDefault="00B10D19" w:rsidP="00B10D19">
      <w:pPr>
        <w:pStyle w:val="Textodenotaderodap"/>
        <w:spacing w:before="240"/>
        <w:rPr>
          <w:rFonts w:ascii="Times New Roman" w:hAnsi="Times New Roman"/>
          <w:sz w:val="18"/>
          <w:lang w:val="pt-BR"/>
        </w:rPr>
      </w:pPr>
      <w:r>
        <w:rPr>
          <w:rStyle w:val="Refdenotaderodap"/>
        </w:rPr>
        <w:footnoteRef/>
      </w:r>
      <w:r>
        <w:rPr>
          <w:rFonts w:ascii="Times New Roman" w:hAnsi="Times New Roman"/>
          <w:sz w:val="18"/>
          <w:lang w:val="pt-BR"/>
        </w:rPr>
        <w:t xml:space="preserve"> A despeito de sua importância política e econômica, Minas Gerais não constitui uma unidade de interesses distinta das demais, confundindo-se com São Paulo ao sul, com a Bahia e o Nordeste em sua porção setentrional, com o Rio de Janeiro na zona da Mata e com o cerrado goiano à oeste. Diferentemente, a proximidade dos projetos das burguesias-senhoriais gaúchas e fluminenses com o projeto do Exército tem tanto determinações econômicas quanto especificamente culturais. No plano cultural, processa-se uma forte interação entre lideranças militares e civis nestas duas províncias ao longo de todo o século XIX, pois, sendo, respectivamente, capital do Império e Província fronteiriça com a Argentina e o Uruguai, Rio de Janeiro e Rio Grande do Sul recebiam a maior parte do efetivo do Exército e toda a elite do oficialato nacional. No plano dos interesses materiais, por sua vez, tanto o Exército, quanto as elites econômicas periféricas do Centro-Sul dependiam de um Estado Nacional forte para garantir e alavancar seus ganhos econômicos e o </w:t>
      </w:r>
      <w:r>
        <w:rPr>
          <w:rFonts w:ascii="Times New Roman" w:hAnsi="Times New Roman"/>
          <w:i/>
          <w:sz w:val="18"/>
          <w:lang w:val="pt-BR"/>
        </w:rPr>
        <w:t xml:space="preserve">status </w:t>
      </w:r>
      <w:r>
        <w:rPr>
          <w:rFonts w:ascii="Times New Roman" w:hAnsi="Times New Roman"/>
          <w:sz w:val="18"/>
          <w:lang w:val="pt-BR"/>
        </w:rPr>
        <w:t xml:space="preserve">político e social.  </w:t>
      </w:r>
    </w:p>
  </w:footnote>
  <w:footnote w:id="35">
    <w:p w:rsidR="00B10D19" w:rsidRDefault="00B10D19" w:rsidP="00B10D19">
      <w:pPr>
        <w:pStyle w:val="Rodap"/>
        <w:rPr>
          <w:sz w:val="18"/>
          <w:szCs w:val="20"/>
        </w:rPr>
      </w:pPr>
      <w:r>
        <w:rPr>
          <w:rStyle w:val="Refdenotaderodap"/>
          <w:szCs w:val="20"/>
        </w:rPr>
        <w:footnoteRef/>
      </w:r>
      <w:r>
        <w:rPr>
          <w:sz w:val="18"/>
          <w:szCs w:val="20"/>
        </w:rPr>
        <w:t xml:space="preserve"> E, de fato, ela será construída, com conseqüências importantes para a história do extremo sul e da nação. Para se ter uma idéia do significado histórico do castilhismo e do borgismo, vale lembrar que, já na Constituição Estadual de </w:t>
      </w:r>
      <w:r w:rsidRPr="00A616A8">
        <w:rPr>
          <w:b/>
          <w:bCs/>
          <w:sz w:val="18"/>
          <w:szCs w:val="20"/>
        </w:rPr>
        <w:t>14 de julho</w:t>
      </w:r>
      <w:r>
        <w:rPr>
          <w:sz w:val="18"/>
          <w:szCs w:val="20"/>
        </w:rPr>
        <w:t xml:space="preserve"> de 1891 (a data não é gratuita), define-se </w:t>
      </w:r>
    </w:p>
    <w:p w:rsidR="00B10D19" w:rsidRDefault="00B10D19" w:rsidP="00B10D19">
      <w:pPr>
        <w:pStyle w:val="Rodap"/>
        <w:ind w:left="720"/>
        <w:rPr>
          <w:sz w:val="18"/>
          <w:szCs w:val="20"/>
        </w:rPr>
      </w:pPr>
      <w:r>
        <w:rPr>
          <w:sz w:val="18"/>
          <w:szCs w:val="20"/>
        </w:rPr>
        <w:t xml:space="preserve">“Art. 47 - Só à Assembléia compete lançar impostos: </w:t>
      </w:r>
    </w:p>
    <w:p w:rsidR="00B10D19" w:rsidRDefault="00B10D19" w:rsidP="00B10D19">
      <w:pPr>
        <w:pStyle w:val="Rodap"/>
        <w:ind w:left="720"/>
        <w:rPr>
          <w:sz w:val="18"/>
          <w:szCs w:val="20"/>
        </w:rPr>
      </w:pPr>
      <w:r>
        <w:rPr>
          <w:sz w:val="18"/>
          <w:szCs w:val="20"/>
        </w:rPr>
        <w:t>I – sobre exportação;</w:t>
      </w:r>
    </w:p>
    <w:p w:rsidR="00B10D19" w:rsidRDefault="00B10D19" w:rsidP="00B10D19">
      <w:pPr>
        <w:pStyle w:val="Rodap"/>
        <w:ind w:left="720"/>
        <w:rPr>
          <w:sz w:val="18"/>
          <w:szCs w:val="20"/>
        </w:rPr>
      </w:pPr>
      <w:r>
        <w:rPr>
          <w:sz w:val="18"/>
          <w:szCs w:val="20"/>
        </w:rPr>
        <w:t>II – sobre imóveis rurais;</w:t>
      </w:r>
    </w:p>
    <w:p w:rsidR="00B10D19" w:rsidRDefault="00B10D19" w:rsidP="00B10D19">
      <w:pPr>
        <w:pStyle w:val="Rodap"/>
        <w:ind w:left="720"/>
        <w:rPr>
          <w:sz w:val="18"/>
          <w:szCs w:val="20"/>
        </w:rPr>
      </w:pPr>
      <w:r>
        <w:rPr>
          <w:sz w:val="18"/>
          <w:szCs w:val="20"/>
        </w:rPr>
        <w:t>III – sobre transmissão de propriedade;</w:t>
      </w:r>
    </w:p>
    <w:p w:rsidR="00B10D19" w:rsidRDefault="00B10D19" w:rsidP="00B10D19">
      <w:pPr>
        <w:pStyle w:val="Rodap"/>
        <w:ind w:left="720"/>
        <w:rPr>
          <w:sz w:val="18"/>
          <w:szCs w:val="20"/>
        </w:rPr>
      </w:pPr>
      <w:r>
        <w:rPr>
          <w:sz w:val="18"/>
          <w:szCs w:val="20"/>
        </w:rPr>
        <w:t>IV – sobre heranças e legados;</w:t>
      </w:r>
    </w:p>
    <w:p w:rsidR="00B10D19" w:rsidRDefault="00B10D19" w:rsidP="00B10D19">
      <w:pPr>
        <w:pStyle w:val="Rodap"/>
        <w:ind w:left="720"/>
        <w:rPr>
          <w:sz w:val="18"/>
          <w:szCs w:val="20"/>
        </w:rPr>
      </w:pPr>
      <w:r>
        <w:rPr>
          <w:sz w:val="18"/>
          <w:szCs w:val="20"/>
        </w:rPr>
        <w:t>V – sobre títulos de nomeação e sobre vencimentos dos funcionários do Estado.</w:t>
      </w:r>
    </w:p>
    <w:p w:rsidR="00B10D19" w:rsidRDefault="00B10D19" w:rsidP="00B10D19">
      <w:pPr>
        <w:pStyle w:val="Rodap"/>
        <w:ind w:left="720"/>
        <w:rPr>
          <w:sz w:val="18"/>
          <w:szCs w:val="20"/>
        </w:rPr>
      </w:pPr>
      <w:r>
        <w:rPr>
          <w:sz w:val="18"/>
          <w:szCs w:val="20"/>
        </w:rPr>
        <w:t xml:space="preserve">§ 1º - A exportação de produtos do estado e a transmissão de propriedade deixarão de ser tributadas, logo que a arrecadação do imposto chamado territorial estiver convenientemente regularizada. </w:t>
      </w:r>
    </w:p>
    <w:p w:rsidR="00B10D19" w:rsidRDefault="00B10D19" w:rsidP="00B10D19">
      <w:pPr>
        <w:pStyle w:val="Rodap"/>
        <w:jc w:val="both"/>
        <w:rPr>
          <w:sz w:val="18"/>
          <w:szCs w:val="20"/>
        </w:rPr>
      </w:pPr>
      <w:r>
        <w:rPr>
          <w:sz w:val="18"/>
          <w:szCs w:val="20"/>
        </w:rPr>
        <w:t xml:space="preserve">Vale notar que a despeito da estreiteza da base fiscal representada pelas exportações nos Estados </w:t>
      </w:r>
      <w:r w:rsidRPr="00A616A8">
        <w:rPr>
          <w:b/>
          <w:bCs/>
          <w:sz w:val="18"/>
          <w:szCs w:val="20"/>
        </w:rPr>
        <w:t>não</w:t>
      </w:r>
      <w:r>
        <w:rPr>
          <w:sz w:val="18"/>
          <w:szCs w:val="20"/>
        </w:rPr>
        <w:t xml:space="preserve"> cafeicultores, ela ainda é, juntamente com a transferência de bens imóveis, a base mais ampla, pois se impõe simultaneamente a um ato de pagamento que exige a sanção do poder público. O Estado gaúcho vai abrir mão paulatinamente desta base fiscal para assentar a tributação </w:t>
      </w:r>
      <w:r>
        <w:rPr>
          <w:b/>
          <w:sz w:val="18"/>
          <w:szCs w:val="20"/>
        </w:rPr>
        <w:t xml:space="preserve">na propriedade do solo, através da criação e cobrança do Imposto Territorial Rural sobre terras produtivas e improdutivas. </w:t>
      </w:r>
      <w:r>
        <w:rPr>
          <w:sz w:val="18"/>
          <w:szCs w:val="20"/>
        </w:rPr>
        <w:t xml:space="preserve">Não gratuitamente, este resultado só é alcançado sob o peso das armas: acredita-se que a Revolução Federalista tenha sido a mais sanguinária das sedições regionais da História do Brasil (a este respeito, veja-se Reverbel, 1985). Acerca da base social do projeto positivista-castilhista, veja-se Paiva, 2004. </w:t>
      </w:r>
    </w:p>
  </w:footnote>
  <w:footnote w:id="36">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Encilhamento foi o nome dado à crise monetária, cambial e fiscal aberta em 1891, que se desdobrará na quebra de empresas ao longo de 1892 e na grande desvalorização das ações das empresas de capital aberto em 1893. O fundamento desta crise será a lei bancária de 17 de janeiro de 1890, que institui bancos regionais com poder de emissão para enfrentar a carência de numerário derivado da transição da economia nacional para o regime assalariado.      </w:t>
      </w:r>
    </w:p>
  </w:footnote>
  <w:footnote w:id="37">
    <w:p w:rsidR="00B10D19" w:rsidRDefault="00B10D19" w:rsidP="00B10D19">
      <w:pPr>
        <w:pStyle w:val="Textodenotaderodap"/>
        <w:rPr>
          <w:rFonts w:ascii="Times New Roman" w:hAnsi="Times New Roman"/>
          <w:sz w:val="18"/>
          <w:lang w:val="es-ES_tradnl"/>
        </w:rPr>
      </w:pPr>
      <w:r>
        <w:rPr>
          <w:rStyle w:val="Refdenotaderodap"/>
        </w:rPr>
        <w:footnoteRef/>
      </w:r>
      <w:r>
        <w:rPr>
          <w:rFonts w:ascii="Times New Roman" w:hAnsi="Times New Roman"/>
          <w:sz w:val="18"/>
          <w:lang w:val="pt-BR"/>
        </w:rPr>
        <w:t xml:space="preserve"> O arauto da “Nova Política Econômica” será Joaquim Murtinho, Ministro da Fazenda de Campos Salles e responsável pelas negociações finais do </w:t>
      </w:r>
      <w:r>
        <w:rPr>
          <w:rFonts w:ascii="Times New Roman" w:hAnsi="Times New Roman"/>
          <w:i/>
          <w:sz w:val="18"/>
          <w:lang w:val="pt-BR"/>
        </w:rPr>
        <w:t xml:space="preserve">funding loan </w:t>
      </w:r>
      <w:r>
        <w:rPr>
          <w:rFonts w:ascii="Times New Roman" w:hAnsi="Times New Roman"/>
          <w:sz w:val="18"/>
          <w:lang w:val="pt-BR"/>
        </w:rPr>
        <w:t xml:space="preserve">conquistado junto à casa Rothschild em 1898. Segundo o Ministro, a crise monetária, cambial e fiscal dos anos 90 fora causada pelo “excesso de emissões [que redundou no] .... estabelecimento de indústrias artificiais e a organização agrícola para a produção exagerada de café. ... [A solução seria enxugar a liquidez, promovendo] a concorrência entre os diversos lavradores, produzindo por meio de liquidações a seleção natural, manifestada pelo desaparecimento dos inferiores e pela permanência dos superiores.” </w:t>
      </w:r>
      <w:r>
        <w:rPr>
          <w:rFonts w:ascii="Times New Roman" w:hAnsi="Times New Roman"/>
          <w:sz w:val="18"/>
          <w:lang w:val="es-ES_tradnl"/>
        </w:rPr>
        <w:t>(Apud Franco, 1989, p. 27).</w:t>
      </w:r>
    </w:p>
  </w:footnote>
  <w:footnote w:id="38">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O caso extremo é o sal: o preço pode cair a uma pequena percentagem do vigente sem que se manifeste qualquer ampliação sustentável na quantidade demandada. O café apresenta uma demanda significativamente mais elástica do que o sal, mas significativamente menos elástica do que os produtos alimentares (como a carne, por exemplo) com maior impacto no orçamento. Não gratuitamente, no Brasil, café preto e açúcar estão presentes na mesa das famílias mais humildes.   </w:t>
      </w:r>
    </w:p>
  </w:footnote>
  <w:footnote w:id="39">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A este respeito, veja-se Furtado (1984, p. 155 e segs).</w:t>
      </w:r>
    </w:p>
  </w:footnote>
  <w:footnote w:id="40">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Furtado argumenta que a desvalorização era concentradora em função da elevada expressão percentual dos bens de consumo dos trabalhadores (tecidos de algodão, vinhos, trigo, etc.) no valor das importações no período. Mas seu raciocínio não leva em consideração o fato de que estes produtos são mais facilmente substituíveis por similares nacionais do que os produtos de luxo ou bens de capital. E ignora o fato de que boa parte dos compromissos financeiros dos elos finais da cadeia cafeicultora (bancos, comerciantes, transportadores, etc.) são em moeda estrangeira, retirando qualquer eficácia da desvalorização como política de sustentação de renda dos mesmos. A este respeito, vide Saes (2006, pp. 92 e segs).</w:t>
      </w:r>
    </w:p>
  </w:footnote>
  <w:footnote w:id="41">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Contudo, mesmo a indústria nacional só é beneficiada na medida em que a sustentação e ampliação da demanda e da produção não precisa caminhar </w:t>
      </w:r>
      <w:r>
        <w:rPr>
          <w:rFonts w:ascii="Times New Roman" w:hAnsi="Times New Roman"/>
          <w:i/>
          <w:sz w:val="18"/>
          <w:lang w:val="pt-BR"/>
        </w:rPr>
        <w:t>pari passu</w:t>
      </w:r>
      <w:r>
        <w:rPr>
          <w:rFonts w:ascii="Times New Roman" w:hAnsi="Times New Roman"/>
          <w:sz w:val="18"/>
          <w:lang w:val="pt-BR"/>
        </w:rPr>
        <w:t xml:space="preserve"> com a ampliação da capacidade produtiva (que depende de componentes importados). </w:t>
      </w:r>
      <w:r w:rsidRPr="007D2C4B">
        <w:rPr>
          <w:rFonts w:ascii="Times New Roman" w:hAnsi="Times New Roman"/>
          <w:b/>
          <w:bCs/>
          <w:sz w:val="18"/>
          <w:lang w:val="pt-BR"/>
        </w:rPr>
        <w:t>Os investimentos – ao contrário da produção! – são estimulados quando a moeda nacional se valoriza e os produtos importados ficam mais baratos</w:t>
      </w:r>
      <w:r>
        <w:rPr>
          <w:rFonts w:ascii="Times New Roman" w:hAnsi="Times New Roman"/>
          <w:sz w:val="18"/>
          <w:lang w:val="pt-BR"/>
        </w:rPr>
        <w:t>. Voltaremos a este ponto logo adiante.</w:t>
      </w:r>
    </w:p>
  </w:footnote>
  <w:footnote w:id="42">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Segundo Abreu (1989, p. 392), em 1906 o valor do dólar em mil-réis correspondia a 50% do valor de 1900.</w:t>
      </w:r>
    </w:p>
  </w:footnote>
  <w:footnote w:id="43">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Não obstante reconhecermos pertinência analítica à distinção entre “industrialização” (que envolveria a implantação de um setor produtor de bens de capital) e “crescimento industrial” (que pressuporia tão somente a expansão da produção de bens de consumo manufaturados), não adotamos </w:t>
      </w:r>
      <w:r>
        <w:rPr>
          <w:rFonts w:ascii="Times New Roman" w:hAnsi="Times New Roman"/>
          <w:b/>
          <w:sz w:val="18"/>
          <w:lang w:val="pt-BR"/>
        </w:rPr>
        <w:t>formalmente</w:t>
      </w:r>
      <w:r>
        <w:rPr>
          <w:rFonts w:ascii="Times New Roman" w:hAnsi="Times New Roman"/>
          <w:sz w:val="18"/>
          <w:lang w:val="pt-BR"/>
        </w:rPr>
        <w:t>, neste trabalho a clivagem proposta pelos teóricos da Escola de Campinas (a respeito, vide Mello, 1982, pp. 96 e segs.). E isto pelo simples motivo de que a distinção terminológica (mais do que o aporte teórico) não alcançou se consagrar. Não obstante, como veremos adiante, adotamos em linhas gerais o aporte teórico “campineiro”.</w:t>
      </w:r>
    </w:p>
  </w:footnote>
  <w:footnote w:id="44">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Como o diz convincentemente Warren Dean: é “impossível conceber um produto de exportação tão lucrativo que custeasse a importação de tijolos” </w:t>
      </w:r>
      <w:r w:rsidRPr="00966BDD">
        <w:rPr>
          <w:rFonts w:ascii="Times New Roman" w:hAnsi="Times New Roman"/>
          <w:sz w:val="18"/>
          <w:lang w:val="pt-BR"/>
        </w:rPr>
        <w:t>(Dean, 1971, p.16).</w:t>
      </w:r>
    </w:p>
  </w:footnote>
  <w:footnote w:id="45">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A este respeito, vejam-se os capítulos sobre os padrões competitivos e de formação de preços típicos da agropecuária (concorrência perfeita), dos serviços (monopólio e concorrência monopolista) e industrial (oligopólio).  </w:t>
      </w:r>
    </w:p>
  </w:footnote>
  <w:footnote w:id="46">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Vale insistir que esta é uma representação esquemática do ocorrido, em que se busca apanhar a essência do processo, à custa do detalhamento e da apreensão de ricas contradições em seu interior. Para ir no ponto: na medida em que internaliza a produção de tijolos e de material de construção (inclusive cimento), a economia brasileira endogeneiza, sim, parcela do Departamento de Bens de Produção. O que importa, contudo, é que os segmentos endogeneizados não vão conformar uma cadeia produtiva capaz de autonomizar a acumulação produtiva em qualquer segmento da economia. E o significado desta limitação fica mais claro se a absolutizamos, num exercício que tem que ser tomado enquanto tal. </w:t>
      </w:r>
    </w:p>
  </w:footnote>
  <w:footnote w:id="47">
    <w:p w:rsidR="00B10D19" w:rsidRP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es-ES_tradnl"/>
        </w:rPr>
        <w:t xml:space="preserve"> Sobre este tópico ver, por exemplo, Van der Wee (1986), Marglin e Schor (1990), </w:t>
      </w:r>
      <w:r w:rsidRPr="00B10D19">
        <w:rPr>
          <w:rFonts w:ascii="Times New Roman" w:hAnsi="Times New Roman"/>
          <w:sz w:val="18"/>
          <w:lang w:val="pt-BR"/>
        </w:rPr>
        <w:t xml:space="preserve">Greenville (2005), Best </w:t>
      </w:r>
      <w:r w:rsidRPr="00B10D19">
        <w:rPr>
          <w:rFonts w:ascii="Times New Roman" w:hAnsi="Times New Roman"/>
          <w:i/>
          <w:iCs/>
          <w:sz w:val="18"/>
          <w:lang w:val="pt-BR"/>
        </w:rPr>
        <w:t>et al</w:t>
      </w:r>
      <w:r w:rsidRPr="00B10D19">
        <w:rPr>
          <w:rFonts w:ascii="Times New Roman" w:hAnsi="Times New Roman"/>
          <w:sz w:val="18"/>
          <w:lang w:val="pt-BR"/>
        </w:rPr>
        <w:t xml:space="preserve">. (2005). </w:t>
      </w:r>
    </w:p>
  </w:footnote>
  <w:footnote w:id="48">
    <w:p w:rsidR="00B10D19" w:rsidRDefault="00B10D19" w:rsidP="00B10D19">
      <w:pPr>
        <w:pStyle w:val="Textodenotaderodap"/>
        <w:rPr>
          <w:lang w:val="pt-BR"/>
        </w:rPr>
      </w:pPr>
      <w:r>
        <w:rPr>
          <w:rStyle w:val="Refdenotaderodap"/>
        </w:rPr>
        <w:footnoteRef/>
      </w:r>
      <w:r>
        <w:rPr>
          <w:rFonts w:ascii="Times New Roman" w:hAnsi="Times New Roman"/>
          <w:sz w:val="18"/>
          <w:lang w:val="pt-BR"/>
        </w:rPr>
        <w:t xml:space="preserve"> Por uma questão de escopo não tratar-se-á com detalhes todos os complexos aspectos que envolveram a industrialização brasileira como, por exemplo, os mecanismos de política econômica utilizados em cada período, os padrões de financiamento, as influências externas etc. A bibliografia trabalhada poderá fornecer os elementos complementares para aqueles que desejarem aprofundar seus estudos</w:t>
      </w:r>
      <w:r>
        <w:rPr>
          <w:lang w:val="pt-BR"/>
        </w:rPr>
        <w:t>.</w:t>
      </w:r>
    </w:p>
  </w:footnote>
  <w:footnote w:id="49">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Para um aprofundamento dos temas abordados neste item ver os trabalhos de Abreu (1992), Fishlow (1972), </w:t>
      </w:r>
      <w:r>
        <w:rPr>
          <w:rFonts w:ascii="Times New Roman" w:hAnsi="Times New Roman"/>
          <w:sz w:val="18"/>
          <w:highlight w:val="yellow"/>
          <w:lang w:val="pt-BR"/>
        </w:rPr>
        <w:t>Furtado (1976)</w:t>
      </w:r>
      <w:r>
        <w:rPr>
          <w:rFonts w:ascii="Times New Roman" w:hAnsi="Times New Roman"/>
          <w:sz w:val="18"/>
          <w:lang w:val="pt-BR"/>
        </w:rPr>
        <w:t xml:space="preserve"> Mello (1991), Peláez (1968), Silva (1976), Suzigan (1986), Tavares (1981), Versiani &amp; Versiani (1977).</w:t>
      </w:r>
    </w:p>
  </w:footnote>
  <w:footnote w:id="50">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Para o caso brasileiro ver em especial </w:t>
      </w:r>
      <w:r>
        <w:rPr>
          <w:rFonts w:ascii="Times New Roman" w:hAnsi="Times New Roman"/>
          <w:sz w:val="18"/>
          <w:highlight w:val="yellow"/>
          <w:lang w:val="pt-BR"/>
        </w:rPr>
        <w:t>Furtado (1976)</w:t>
      </w:r>
      <w:r>
        <w:rPr>
          <w:rFonts w:ascii="Times New Roman" w:hAnsi="Times New Roman"/>
          <w:sz w:val="18"/>
          <w:lang w:val="pt-BR"/>
        </w:rPr>
        <w:t>, Tavares (1981) e Abreu (1992).</w:t>
      </w:r>
    </w:p>
  </w:footnote>
  <w:footnote w:id="51">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De acordo com Suzigan (1986) antes da crise de 1929 o Brasil tinha uma estrutura industrial cuja produção se concentrava fortemente em setores “leves” (bens de consumo) com uma incipiente (ainda que existente) diversificação para setores mais complexos (ou “pesados”). Todavia, este fato não configurava, nem remotamente, uma estrutura diversificada e integrada em moldes que só serão vislumbrados a partir dos anos 1950. </w:t>
      </w:r>
    </w:p>
  </w:footnote>
  <w:footnote w:id="52">
    <w:p w:rsidR="00B10D19" w:rsidRDefault="00B10D19" w:rsidP="00B10D19">
      <w:pPr>
        <w:pStyle w:val="Textodenotaderodap"/>
        <w:rPr>
          <w:lang w:val="pt-BR"/>
        </w:rPr>
      </w:pPr>
      <w:r>
        <w:rPr>
          <w:rStyle w:val="Refdenotaderodap"/>
        </w:rPr>
        <w:footnoteRef/>
      </w:r>
      <w:r>
        <w:rPr>
          <w:rFonts w:ascii="Times New Roman" w:hAnsi="Times New Roman"/>
          <w:sz w:val="18"/>
          <w:lang w:val="pt-BR"/>
        </w:rPr>
        <w:t xml:space="preserve"> Estas continuaram sendo uma fonte importante de demanda e, principalmente, geração de divisas. Porém, perderam a proeminência na determinação do ritmo de expansão da economia.</w:t>
      </w:r>
    </w:p>
  </w:footnote>
  <w:footnote w:id="53">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Maiores detalhes ver Bonelli (1995), Canuto (1995), Carneiro (1991), Castro &amp; Souza (1985), Draibe (1985), Fiori (1993), Lessa (1981), Mello (1991), Mello &amp; Belluzzo (1982), Oliveira (1991), Serra (1982), Tavares (1978, 1985), Tavares &amp; Belluzzo (1982). </w:t>
      </w:r>
    </w:p>
  </w:footnote>
  <w:footnote w:id="54">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Dentre os mecanismos de estímulo ao investimento, especialmente ao investimento externo, destaca-se: (i) incentivo a setores estratégicos, via câmbio preferencial (instrução 70 da Sumoc) (ii) a Instrução 113 da Sumoc que visava estimular os investimentos externos. Ela liberava a importação de máquinas, equipamentos e matérias primas sem a necessidade de cobertura cambial, ou seja, sem dispêndios em moeda – a importação acaba funcionando como uma entrada autônoma de capitais, um investimento direto.</w:t>
      </w:r>
    </w:p>
  </w:footnote>
  <w:footnote w:id="55">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Neste período também foi construída a nova capital do país, Brasília, inaugurada em 1960.</w:t>
      </w:r>
    </w:p>
  </w:footnote>
  <w:footnote w:id="56">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A Lei 4.131 (garantindo facilidades na contratação de empréstimos externos) e a Resolução 63 do BACEN (permitiu aos Bancos Comerciais, de Investimento e ao BNDE captar recursos externos e repassá-los internamente) fizeram a ponte entre a ampliação da liquidez externa com o aumento do crédito interno.  Os empréstimos externos constituíram uma importante fonte de captação de recursos, dinamizando o novo sistema financeiro e evitando que o ciclo expansivo fosse restringido. Garantiu-se a capacidade para importar, minimizando-se os impactos recessivos sobre o balanço de pagamentos.</w:t>
      </w:r>
    </w:p>
  </w:footnote>
  <w:footnote w:id="57">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lang w:val="pt-BR"/>
        </w:rPr>
        <w:t xml:space="preserve"> Tal conexão fica clara quando se pensa na construção de mega-usinas hidroelétricas, como Itaipu, estradas, ferrovias, plantas petroquímicas, etc., que demandam expressivos volumes adicionais de ferro, aço, cimento, produtos químicos diversos, geradores, máquinas e equipamentos diversos, etc.</w:t>
      </w:r>
    </w:p>
  </w:footnote>
  <w:footnote w:id="58">
    <w:p w:rsidR="00B10D19" w:rsidRDefault="00B10D19" w:rsidP="00B10D19">
      <w:pPr>
        <w:pStyle w:val="Textodenotaderodap"/>
        <w:rPr>
          <w:rFonts w:ascii="Times New Roman" w:hAnsi="Times New Roman"/>
          <w:sz w:val="18"/>
          <w:lang w:val="pt-BR"/>
        </w:rPr>
      </w:pPr>
      <w:r>
        <w:rPr>
          <w:rStyle w:val="Refdenotaderodap"/>
        </w:rPr>
        <w:footnoteRef/>
      </w:r>
      <w:r>
        <w:rPr>
          <w:rFonts w:ascii="Times New Roman" w:hAnsi="Times New Roman"/>
          <w:sz w:val="18"/>
        </w:rPr>
        <w:t>Castro (1985) procura computar os recursos poupados com a internalização de uma produção antes importada e os ganhos com a exportação de setores antes importadores.</w:t>
      </w:r>
    </w:p>
  </w:footnote>
  <w:footnote w:id="59">
    <w:p w:rsidR="00B10D19" w:rsidRDefault="00B10D19" w:rsidP="00B10D19">
      <w:pPr>
        <w:pStyle w:val="Textodenotaderodap"/>
        <w:rPr>
          <w:rFonts w:ascii="Times New Roman" w:hAnsi="Times New Roman"/>
          <w:sz w:val="18"/>
          <w:szCs w:val="18"/>
          <w:lang w:val="pt-BR"/>
        </w:rPr>
      </w:pPr>
      <w:r>
        <w:rPr>
          <w:rStyle w:val="Refdenotaderodap"/>
          <w:szCs w:val="18"/>
        </w:rPr>
        <w:footnoteRef/>
      </w:r>
      <w:r>
        <w:rPr>
          <w:rFonts w:ascii="Times New Roman" w:hAnsi="Times New Roman"/>
          <w:sz w:val="18"/>
          <w:szCs w:val="18"/>
          <w:lang w:val="pt-BR"/>
        </w:rPr>
        <w:t xml:space="preserve"> O autor considerou o seguinte recorte setorial: (1) Setores Tradicionais - Madeira, Mobiliário, Couros e Peles, Farmacêutica, Perfumaria, Têxtil, Vestuário, Alimentos, Bebidas, Fumo, Editorial, Diversas; (2) Setores Processadores de Recursos Naturais - Minerais Não Metálicos, Metalurgia, Papel e Papelão, Borracha, Química, Plásticos; (3) Setores Tecnologicamente Dinâmicos Mecânica, Material Elétrico, Material de Transporte.</w:t>
      </w:r>
    </w:p>
  </w:footnote>
  <w:footnote w:id="60">
    <w:p w:rsidR="00B10D19" w:rsidRDefault="00B10D19" w:rsidP="00B10D19">
      <w:pPr>
        <w:pStyle w:val="Textodenotaderodap"/>
        <w:rPr>
          <w:sz w:val="18"/>
          <w:szCs w:val="18"/>
          <w:lang w:val="pt-BR"/>
        </w:rPr>
      </w:pPr>
      <w:r>
        <w:rPr>
          <w:rStyle w:val="Refdenotaderodap"/>
          <w:szCs w:val="18"/>
        </w:rPr>
        <w:footnoteRef/>
      </w:r>
      <w:r>
        <w:rPr>
          <w:rFonts w:ascii="Times New Roman" w:hAnsi="Times New Roman"/>
          <w:sz w:val="18"/>
          <w:szCs w:val="18"/>
          <w:lang w:val="pt-BR"/>
        </w:rPr>
        <w:t xml:space="preserve"> Ver Bonelli (1995), Castro &amp; Souza (1985), Serra (1982), Giambiagi </w:t>
      </w:r>
      <w:r>
        <w:rPr>
          <w:rFonts w:ascii="Times New Roman" w:hAnsi="Times New Roman"/>
          <w:i/>
          <w:sz w:val="18"/>
          <w:szCs w:val="18"/>
          <w:lang w:val="pt-BR"/>
        </w:rPr>
        <w:t>et al</w:t>
      </w:r>
      <w:r>
        <w:rPr>
          <w:rFonts w:ascii="Times New Roman" w:hAnsi="Times New Roman"/>
          <w:sz w:val="18"/>
          <w:szCs w:val="18"/>
          <w:lang w:val="pt-BR"/>
        </w:rPr>
        <w:t>. (2004), Carneiro (2002) e OECD (2001).</w:t>
      </w:r>
    </w:p>
  </w:footnote>
  <w:footnote w:id="61">
    <w:p w:rsidR="00B10D19" w:rsidRDefault="00B10D19" w:rsidP="00B10D19">
      <w:pPr>
        <w:jc w:val="both"/>
      </w:pPr>
      <w:r>
        <w:rPr>
          <w:rStyle w:val="Refdenotaderodap"/>
          <w:szCs w:val="18"/>
        </w:rPr>
        <w:footnoteRef/>
      </w:r>
      <w:r>
        <w:rPr>
          <w:sz w:val="18"/>
          <w:szCs w:val="18"/>
        </w:rPr>
        <w:t xml:space="preserve"> Por conta disso, a dívida externa passou de US$ 6 bilhões (1970) para R$ 65 bilhões (1980).</w:t>
      </w:r>
    </w:p>
  </w:footnote>
  <w:footnote w:id="62">
    <w:p w:rsidR="00B10D19" w:rsidRDefault="00B10D19" w:rsidP="00B10D19">
      <w:pPr>
        <w:pStyle w:val="Textodenotaderodap"/>
        <w:rPr>
          <w:rFonts w:ascii="Times New Roman" w:hAnsi="Times New Roman"/>
          <w:sz w:val="18"/>
          <w:szCs w:val="18"/>
          <w:lang w:val="pt-BR"/>
        </w:rPr>
      </w:pPr>
      <w:r>
        <w:rPr>
          <w:rStyle w:val="Refdenotaderodap"/>
          <w:szCs w:val="18"/>
        </w:rPr>
        <w:footnoteRef/>
      </w:r>
      <w:r>
        <w:rPr>
          <w:rFonts w:ascii="Times New Roman" w:hAnsi="Times New Roman"/>
          <w:sz w:val="18"/>
          <w:szCs w:val="18"/>
          <w:lang w:val="pt-BR"/>
        </w:rPr>
        <w:t xml:space="preserve"> Entre 1986 e 1994, o Brasil teve seis moedas: o Cruzeiro (que passou por cinco “mini-reformas”, entre 1942 e 1986), o Cruzado (1986), o Cruzado Novo (1989), o Cruzeiro (1990), o Cruzeiro Real (1993) e o Real (1994).</w:t>
      </w:r>
    </w:p>
  </w:footnote>
  <w:footnote w:id="63">
    <w:p w:rsidR="00B10D19" w:rsidRDefault="00B10D19" w:rsidP="00B10D19">
      <w:pPr>
        <w:pStyle w:val="Textodenotaderodap"/>
        <w:rPr>
          <w:rFonts w:ascii="Times New Roman" w:hAnsi="Times New Roman"/>
          <w:sz w:val="18"/>
          <w:szCs w:val="18"/>
          <w:lang w:val="pt-BR"/>
        </w:rPr>
      </w:pPr>
      <w:r>
        <w:rPr>
          <w:rStyle w:val="Refdenotaderodap"/>
          <w:szCs w:val="18"/>
        </w:rPr>
        <w:footnoteRef/>
      </w:r>
      <w:r>
        <w:rPr>
          <w:rFonts w:ascii="Times New Roman" w:hAnsi="Times New Roman"/>
          <w:sz w:val="18"/>
          <w:szCs w:val="18"/>
          <w:lang w:val="pt-BR"/>
        </w:rPr>
        <w:t xml:space="preserve"> Enquanto as exportações cresceram, em termos acumulados, somente 33% entre 1994 e 2001, as importações expandiram-se em mais de 68%. Entre 1995 e 2000, as exportações mundiais cresceram a uma taxa média composta de 5%. Porém, as exportações brasileiras cresceram somente 4,5%. Outros “emergentes” aproveitaram o </w:t>
      </w:r>
      <w:r>
        <w:rPr>
          <w:rFonts w:ascii="Times New Roman" w:hAnsi="Times New Roman"/>
          <w:i/>
          <w:sz w:val="18"/>
          <w:szCs w:val="18"/>
          <w:lang w:val="pt-BR"/>
        </w:rPr>
        <w:t xml:space="preserve">drive </w:t>
      </w:r>
      <w:r>
        <w:rPr>
          <w:rFonts w:ascii="Times New Roman" w:hAnsi="Times New Roman"/>
          <w:sz w:val="18"/>
          <w:szCs w:val="18"/>
          <w:lang w:val="pt-BR"/>
        </w:rPr>
        <w:t>exportador de forma mais intensa, com taxas anuais de crescimento das exportações muito superiores, tais como: México, com 14%; China, com 11%; Coréia, com 8%; Malásia e Indonésia, com 7%; e Tailândia com 6%. Estimativas dos autores com base nos dados do FMI / Direction of Trade Statistics Yearbook.</w:t>
      </w:r>
    </w:p>
  </w:footnote>
  <w:footnote w:id="64">
    <w:p w:rsidR="00B10D19" w:rsidRDefault="00B10D19" w:rsidP="00B10D19">
      <w:pPr>
        <w:pStyle w:val="Textodenotaderodap"/>
        <w:rPr>
          <w:rFonts w:ascii="Times New Roman" w:hAnsi="Times New Roman"/>
          <w:sz w:val="18"/>
          <w:szCs w:val="18"/>
          <w:lang w:val="pt-BR"/>
        </w:rPr>
      </w:pPr>
      <w:r>
        <w:rPr>
          <w:rStyle w:val="Refdenotaderodap"/>
          <w:szCs w:val="18"/>
        </w:rPr>
        <w:footnoteRef/>
      </w:r>
      <w:r>
        <w:rPr>
          <w:rFonts w:ascii="Times New Roman" w:hAnsi="Times New Roman"/>
          <w:sz w:val="18"/>
          <w:szCs w:val="18"/>
          <w:lang w:val="pt-BR"/>
        </w:rPr>
        <w:t xml:space="preserve"> Estimativa dos autores com base nos dados da revista “Exame: Maiores e Melhores”, diversos números.</w:t>
      </w:r>
    </w:p>
  </w:footnote>
  <w:footnote w:id="65">
    <w:p w:rsidR="00B10D19" w:rsidRDefault="00B10D19" w:rsidP="00B10D19">
      <w:pPr>
        <w:pStyle w:val="Textodenotaderodap"/>
        <w:rPr>
          <w:rFonts w:ascii="Times New Roman" w:hAnsi="Times New Roman"/>
          <w:sz w:val="18"/>
          <w:szCs w:val="18"/>
          <w:lang w:val="pt-BR"/>
        </w:rPr>
      </w:pPr>
      <w:r>
        <w:rPr>
          <w:rStyle w:val="Refdenotaderodap"/>
          <w:szCs w:val="18"/>
        </w:rPr>
        <w:footnoteRef/>
      </w:r>
      <w:r>
        <w:rPr>
          <w:rFonts w:ascii="Times New Roman" w:hAnsi="Times New Roman"/>
          <w:sz w:val="18"/>
          <w:szCs w:val="18"/>
          <w:lang w:val="pt-BR"/>
        </w:rPr>
        <w:t xml:space="preserve"> As regiões metropolitanas consideradas pela Pesquisa Mensal de Emprego (PME-IBGE) e que gera os dados de desemprego, renda e ocupação, são: Recife, Salvador, Belo Horizonte, Rio de Janeiro, São Paulo e Porto Alegre. Os dados referem-se a pessoas com 15 anos ou mais de idade.</w:t>
      </w:r>
    </w:p>
  </w:footnote>
  <w:footnote w:id="66">
    <w:p w:rsidR="00B10D19" w:rsidRDefault="00B10D19" w:rsidP="00B10D19">
      <w:pPr>
        <w:pStyle w:val="Textodenotaderodap"/>
        <w:rPr>
          <w:rFonts w:ascii="Times New Roman" w:hAnsi="Times New Roman"/>
          <w:sz w:val="18"/>
          <w:szCs w:val="18"/>
          <w:lang w:val="pt-BR"/>
        </w:rPr>
      </w:pPr>
      <w:r>
        <w:rPr>
          <w:rStyle w:val="Refdenotaderodap"/>
          <w:szCs w:val="18"/>
        </w:rPr>
        <w:footnoteRef/>
      </w:r>
      <w:r>
        <w:rPr>
          <w:rFonts w:ascii="Times New Roman" w:hAnsi="Times New Roman"/>
          <w:sz w:val="18"/>
          <w:szCs w:val="18"/>
          <w:lang w:val="pt-BR"/>
        </w:rPr>
        <w:t xml:space="preserve"> Refere-se ao rendimento médio real dos ocupados e dos assalariados no trabalho principal - Região Metropolitana de São Paulo, calculado na Pesquisa de Emprego e Desemprego - Sistema Estadual de Análise de Dados e Departamento Intersindical de Estatística e Estudos Sócio-Econômicos, Pesquisa de Emprego e Desemprego (Seade e Dieese/PED). Entre dezembro de 1997 (ainda sob efeitos dos ganhos reais da estabilização) e dezembro de 2002 houve uma queda de 30% na renda real dos trabalhadores. Estimativas dos autores com dados disponibilizados no www.ipeadata.gov.br.</w:t>
      </w:r>
    </w:p>
  </w:footnote>
  <w:footnote w:id="67">
    <w:p w:rsidR="00B10D19" w:rsidRDefault="00B10D19" w:rsidP="00B10D19">
      <w:pPr>
        <w:pStyle w:val="Textodenotaderodap"/>
        <w:rPr>
          <w:rFonts w:ascii="Times New Roman" w:hAnsi="Times New Roman"/>
          <w:sz w:val="18"/>
          <w:szCs w:val="18"/>
          <w:lang w:val="pt-BR"/>
        </w:rPr>
      </w:pPr>
      <w:r>
        <w:rPr>
          <w:rStyle w:val="Refdenotaderodap"/>
          <w:szCs w:val="18"/>
        </w:rPr>
        <w:footnoteRef/>
      </w:r>
      <w:r>
        <w:rPr>
          <w:rFonts w:ascii="Times New Roman" w:hAnsi="Times New Roman"/>
          <w:sz w:val="18"/>
          <w:szCs w:val="18"/>
          <w:lang w:val="pt-BR"/>
        </w:rPr>
        <w:t xml:space="preserve"> Recife, Salvador, Belo Horizonte, Rio de Janeiro, São Paulo e Porto Alegre.</w:t>
      </w:r>
    </w:p>
  </w:footnote>
  <w:footnote w:id="68">
    <w:p w:rsidR="00B10D19" w:rsidRDefault="00B10D19" w:rsidP="00B10D19">
      <w:pPr>
        <w:pStyle w:val="Textodenotaderodap"/>
        <w:rPr>
          <w:lang w:val="pt-BR"/>
        </w:rPr>
      </w:pPr>
      <w:r>
        <w:rPr>
          <w:rStyle w:val="Refdenotaderodap"/>
          <w:szCs w:val="18"/>
        </w:rPr>
        <w:footnoteRef/>
      </w:r>
      <w:r>
        <w:rPr>
          <w:rFonts w:ascii="Times New Roman" w:hAnsi="Times New Roman"/>
          <w:sz w:val="18"/>
          <w:szCs w:val="18"/>
          <w:lang w:val="pt-BR"/>
        </w:rPr>
        <w:t xml:space="preserve"> Tomando-se a produtividade do trabalho na indústria de transformação (IBGE – PME, metodologia antiga), médias anuais, verificou-se queda de aproximadamente 15% entre 1982 e 1990. Porém, entre 1991 e 2000, o crescimento acumulado foi de cerca de 45%. Rossi &amp; Ferreira (1999) calcularam o aumento da produtividade do trabalho (produtividade-homem) em dois sub-períodos: 1990-1993 e 1994-1997. No primeiro, o ganho médio anual teria sido de 6,3%; no segundo, de 7,3%. Uma análise aprofundada pode ser encontrada em Moreira &amp; Najberg (1998), Bonelli &amp; Fonseca, Rossi &amp; Ferreira (1999), Soares </w:t>
      </w:r>
      <w:r>
        <w:rPr>
          <w:rFonts w:ascii="Times New Roman" w:hAnsi="Times New Roman"/>
          <w:i/>
          <w:sz w:val="18"/>
          <w:szCs w:val="18"/>
          <w:lang w:val="pt-BR"/>
        </w:rPr>
        <w:t>et al.(</w:t>
      </w:r>
      <w:r>
        <w:rPr>
          <w:rFonts w:ascii="Times New Roman" w:hAnsi="Times New Roman"/>
          <w:sz w:val="18"/>
          <w:szCs w:val="18"/>
          <w:lang w:val="pt-BR"/>
        </w:rPr>
        <w:t>2002) e Bonelli (2002).</w:t>
      </w:r>
    </w:p>
  </w:footnote>
  <w:footnote w:id="69">
    <w:p w:rsidR="00B10D19" w:rsidRDefault="00B10D19" w:rsidP="00B10D19">
      <w:pPr>
        <w:pStyle w:val="Textodenotaderodap"/>
        <w:rPr>
          <w:rFonts w:ascii="Times New Roman" w:hAnsi="Times New Roman"/>
          <w:sz w:val="18"/>
          <w:szCs w:val="18"/>
          <w:lang w:val="pt-BR"/>
        </w:rPr>
      </w:pPr>
      <w:r>
        <w:rPr>
          <w:rStyle w:val="Refdenotaderodap"/>
          <w:szCs w:val="18"/>
        </w:rPr>
        <w:footnoteRef/>
      </w:r>
      <w:r>
        <w:rPr>
          <w:rFonts w:ascii="Times New Roman" w:hAnsi="Times New Roman"/>
          <w:sz w:val="18"/>
          <w:szCs w:val="18"/>
          <w:lang w:val="pt-BR"/>
        </w:rPr>
        <w:t xml:space="preserve"> Como o crescimento da renda mundial também se acelerou, a diferença entre “Brasil” e “Mundo” continuou negativa, em uma proporção semelhante àquela verificada a partir de 1995, ou seja, uma média anual de -1,2%.</w:t>
      </w:r>
    </w:p>
  </w:footnote>
  <w:footnote w:id="70">
    <w:p w:rsidR="00B10D19" w:rsidRDefault="00B10D19" w:rsidP="00B10D19">
      <w:pPr>
        <w:pStyle w:val="Textodenotaderodap"/>
        <w:rPr>
          <w:rFonts w:ascii="Times New Roman" w:hAnsi="Times New Roman"/>
          <w:sz w:val="18"/>
          <w:szCs w:val="18"/>
          <w:lang w:val="pt-BR"/>
        </w:rPr>
      </w:pPr>
      <w:r>
        <w:rPr>
          <w:rStyle w:val="Refdenotaderodap"/>
          <w:szCs w:val="18"/>
        </w:rPr>
        <w:footnoteRef/>
      </w:r>
      <w:r>
        <w:rPr>
          <w:rFonts w:ascii="Times New Roman" w:hAnsi="Times New Roman"/>
          <w:sz w:val="18"/>
          <w:szCs w:val="18"/>
          <w:lang w:val="pt-BR"/>
        </w:rPr>
        <w:t xml:space="preserve"> No livro “Brasil: a construção interrompida” (1992:39) um Furtado maduro explica que as teorias do desenvolvimento “... são esquemas explicativos dos processos sociais em que a assimilação de novas técnicas e o conseqüente aumento da produtividade conduzem à melhoria do bem-estar de uma população com crescente homogeneização social.”. Vale dizer, o desenvolvimento só está presente se, simultaneamente, há: (i) crescimento da renda, a partir do aumento da eficiência do sistema econômico; (ii) melhoria das condições de vida da população em geral, o que se explicita nos indicadores tradicionais de expectativa de vida as nascer, escolaridade, etc.; e (iii) manutenção de um perfil de distribuição da renda, riqueza e poder que seja socialmente tolerável e que, no limite, sinalize para a redução das distâncias sociais e a criação de amplas oportunidades de realização individual em um contexto de transformação da sociedade.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BA0E4C6C"/>
    <w:lvl w:ilvl="0">
      <w:numFmt w:val="decimal"/>
      <w:lvlText w:val="*"/>
      <w:lvlJc w:val="left"/>
    </w:lvl>
  </w:abstractNum>
  <w:abstractNum w:abstractNumId="1" w15:restartNumberingAfterBreak="0">
    <w:nsid w:val="046A767A"/>
    <w:multiLevelType w:val="hybridMultilevel"/>
    <w:tmpl w:val="CBCA854C"/>
    <w:lvl w:ilvl="0" w:tplc="44EC8488">
      <w:start w:val="1"/>
      <w:numFmt w:val="decimal"/>
      <w:lvlText w:val="(%1)"/>
      <w:lvlJc w:val="left"/>
      <w:pPr>
        <w:tabs>
          <w:tab w:val="num" w:pos="720"/>
        </w:tabs>
        <w:ind w:left="720" w:hanging="360"/>
      </w:pPr>
      <w:rPr>
        <w:rFonts w:hint="default"/>
      </w:rPr>
    </w:lvl>
    <w:lvl w:ilvl="1" w:tplc="2C3453F0">
      <w:start w:val="1"/>
      <w:numFmt w:val="lowerRoman"/>
      <w:lvlText w:val="(%2)"/>
      <w:lvlJc w:val="left"/>
      <w:pPr>
        <w:tabs>
          <w:tab w:val="num" w:pos="1800"/>
        </w:tabs>
        <w:ind w:left="1800" w:hanging="720"/>
      </w:pPr>
      <w:rPr>
        <w:rFonts w:hint="default"/>
      </w:r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4C3EB7"/>
    <w:multiLevelType w:val="hybridMultilevel"/>
    <w:tmpl w:val="7CA09B90"/>
    <w:lvl w:ilvl="0" w:tplc="521456FE">
      <w:start w:val="1"/>
      <w:numFmt w:val="bullet"/>
      <w:lvlText w:val=""/>
      <w:lvlJc w:val="left"/>
      <w:pPr>
        <w:tabs>
          <w:tab w:val="num" w:pos="720"/>
        </w:tabs>
        <w:ind w:left="720" w:hanging="360"/>
      </w:pPr>
      <w:rPr>
        <w:rFonts w:ascii="Symbol" w:hAnsi="Symbol" w:hint="default"/>
        <w:sz w:val="20"/>
      </w:rPr>
    </w:lvl>
    <w:lvl w:ilvl="1" w:tplc="E41481EA">
      <w:start w:val="1"/>
      <w:numFmt w:val="bullet"/>
      <w:lvlText w:val="o"/>
      <w:lvlJc w:val="left"/>
      <w:pPr>
        <w:tabs>
          <w:tab w:val="num" w:pos="1440"/>
        </w:tabs>
        <w:ind w:left="1440" w:hanging="360"/>
      </w:pPr>
      <w:rPr>
        <w:rFonts w:ascii="Courier New" w:hAnsi="Courier New" w:hint="default"/>
        <w:sz w:val="20"/>
      </w:rPr>
    </w:lvl>
    <w:lvl w:ilvl="2" w:tplc="93FEDC76" w:tentative="1">
      <w:start w:val="1"/>
      <w:numFmt w:val="bullet"/>
      <w:lvlText w:val=""/>
      <w:lvlJc w:val="left"/>
      <w:pPr>
        <w:tabs>
          <w:tab w:val="num" w:pos="2160"/>
        </w:tabs>
        <w:ind w:left="2160" w:hanging="360"/>
      </w:pPr>
      <w:rPr>
        <w:rFonts w:ascii="Wingdings" w:hAnsi="Wingdings" w:hint="default"/>
        <w:sz w:val="20"/>
      </w:rPr>
    </w:lvl>
    <w:lvl w:ilvl="3" w:tplc="236AE756" w:tentative="1">
      <w:start w:val="1"/>
      <w:numFmt w:val="bullet"/>
      <w:lvlText w:val=""/>
      <w:lvlJc w:val="left"/>
      <w:pPr>
        <w:tabs>
          <w:tab w:val="num" w:pos="2880"/>
        </w:tabs>
        <w:ind w:left="2880" w:hanging="360"/>
      </w:pPr>
      <w:rPr>
        <w:rFonts w:ascii="Wingdings" w:hAnsi="Wingdings" w:hint="default"/>
        <w:sz w:val="20"/>
      </w:rPr>
    </w:lvl>
    <w:lvl w:ilvl="4" w:tplc="9628115E" w:tentative="1">
      <w:start w:val="1"/>
      <w:numFmt w:val="bullet"/>
      <w:lvlText w:val=""/>
      <w:lvlJc w:val="left"/>
      <w:pPr>
        <w:tabs>
          <w:tab w:val="num" w:pos="3600"/>
        </w:tabs>
        <w:ind w:left="3600" w:hanging="360"/>
      </w:pPr>
      <w:rPr>
        <w:rFonts w:ascii="Wingdings" w:hAnsi="Wingdings" w:hint="default"/>
        <w:sz w:val="20"/>
      </w:rPr>
    </w:lvl>
    <w:lvl w:ilvl="5" w:tplc="BCC43B6E" w:tentative="1">
      <w:start w:val="1"/>
      <w:numFmt w:val="bullet"/>
      <w:lvlText w:val=""/>
      <w:lvlJc w:val="left"/>
      <w:pPr>
        <w:tabs>
          <w:tab w:val="num" w:pos="4320"/>
        </w:tabs>
        <w:ind w:left="4320" w:hanging="360"/>
      </w:pPr>
      <w:rPr>
        <w:rFonts w:ascii="Wingdings" w:hAnsi="Wingdings" w:hint="default"/>
        <w:sz w:val="20"/>
      </w:rPr>
    </w:lvl>
    <w:lvl w:ilvl="6" w:tplc="539CEF28" w:tentative="1">
      <w:start w:val="1"/>
      <w:numFmt w:val="bullet"/>
      <w:lvlText w:val=""/>
      <w:lvlJc w:val="left"/>
      <w:pPr>
        <w:tabs>
          <w:tab w:val="num" w:pos="5040"/>
        </w:tabs>
        <w:ind w:left="5040" w:hanging="360"/>
      </w:pPr>
      <w:rPr>
        <w:rFonts w:ascii="Wingdings" w:hAnsi="Wingdings" w:hint="default"/>
        <w:sz w:val="20"/>
      </w:rPr>
    </w:lvl>
    <w:lvl w:ilvl="7" w:tplc="62B6403A" w:tentative="1">
      <w:start w:val="1"/>
      <w:numFmt w:val="bullet"/>
      <w:lvlText w:val=""/>
      <w:lvlJc w:val="left"/>
      <w:pPr>
        <w:tabs>
          <w:tab w:val="num" w:pos="5760"/>
        </w:tabs>
        <w:ind w:left="5760" w:hanging="360"/>
      </w:pPr>
      <w:rPr>
        <w:rFonts w:ascii="Wingdings" w:hAnsi="Wingdings" w:hint="default"/>
        <w:sz w:val="20"/>
      </w:rPr>
    </w:lvl>
    <w:lvl w:ilvl="8" w:tplc="5844C4F4"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7D65DB5"/>
    <w:multiLevelType w:val="hybridMultilevel"/>
    <w:tmpl w:val="5A68C3F6"/>
    <w:lvl w:ilvl="0" w:tplc="5430450C">
      <w:start w:val="1"/>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 w15:restartNumberingAfterBreak="0">
    <w:nsid w:val="084B4B22"/>
    <w:multiLevelType w:val="hybridMultilevel"/>
    <w:tmpl w:val="25C6612E"/>
    <w:lvl w:ilvl="0" w:tplc="A4E42D38">
      <w:start w:val="1"/>
      <w:numFmt w:val="lowerRoman"/>
      <w:lvlText w:val="(%1)"/>
      <w:lvlJc w:val="left"/>
      <w:pPr>
        <w:tabs>
          <w:tab w:val="num" w:pos="1683"/>
        </w:tabs>
        <w:ind w:left="1683" w:hanging="975"/>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5" w15:restartNumberingAfterBreak="0">
    <w:nsid w:val="0E3422AF"/>
    <w:multiLevelType w:val="hybridMultilevel"/>
    <w:tmpl w:val="074A0B1E"/>
    <w:lvl w:ilvl="0" w:tplc="04160001">
      <w:start w:val="3"/>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794D65"/>
    <w:multiLevelType w:val="hybridMultilevel"/>
    <w:tmpl w:val="B88C8938"/>
    <w:lvl w:ilvl="0" w:tplc="982EACAC">
      <w:start w:val="1"/>
      <w:numFmt w:val="bullet"/>
      <w:lvlText w:val=""/>
      <w:lvlJc w:val="left"/>
      <w:pPr>
        <w:tabs>
          <w:tab w:val="num" w:pos="720"/>
        </w:tabs>
        <w:ind w:left="720" w:hanging="360"/>
      </w:pPr>
      <w:rPr>
        <w:rFonts w:ascii="Symbol" w:hAnsi="Symbol" w:hint="default"/>
        <w:sz w:val="20"/>
      </w:rPr>
    </w:lvl>
    <w:lvl w:ilvl="1" w:tplc="EE98FE2C">
      <w:start w:val="1"/>
      <w:numFmt w:val="bullet"/>
      <w:lvlText w:val="o"/>
      <w:lvlJc w:val="left"/>
      <w:pPr>
        <w:tabs>
          <w:tab w:val="num" w:pos="1440"/>
        </w:tabs>
        <w:ind w:left="1440" w:hanging="360"/>
      </w:pPr>
      <w:rPr>
        <w:rFonts w:ascii="Courier New" w:hAnsi="Courier New" w:hint="default"/>
        <w:sz w:val="20"/>
      </w:rPr>
    </w:lvl>
    <w:lvl w:ilvl="2" w:tplc="708667A2" w:tentative="1">
      <w:start w:val="1"/>
      <w:numFmt w:val="bullet"/>
      <w:lvlText w:val=""/>
      <w:lvlJc w:val="left"/>
      <w:pPr>
        <w:tabs>
          <w:tab w:val="num" w:pos="2160"/>
        </w:tabs>
        <w:ind w:left="2160" w:hanging="360"/>
      </w:pPr>
      <w:rPr>
        <w:rFonts w:ascii="Wingdings" w:hAnsi="Wingdings" w:hint="default"/>
        <w:sz w:val="20"/>
      </w:rPr>
    </w:lvl>
    <w:lvl w:ilvl="3" w:tplc="1CBA4BDE" w:tentative="1">
      <w:start w:val="1"/>
      <w:numFmt w:val="bullet"/>
      <w:lvlText w:val=""/>
      <w:lvlJc w:val="left"/>
      <w:pPr>
        <w:tabs>
          <w:tab w:val="num" w:pos="2880"/>
        </w:tabs>
        <w:ind w:left="2880" w:hanging="360"/>
      </w:pPr>
      <w:rPr>
        <w:rFonts w:ascii="Wingdings" w:hAnsi="Wingdings" w:hint="default"/>
        <w:sz w:val="20"/>
      </w:rPr>
    </w:lvl>
    <w:lvl w:ilvl="4" w:tplc="FF90D664" w:tentative="1">
      <w:start w:val="1"/>
      <w:numFmt w:val="bullet"/>
      <w:lvlText w:val=""/>
      <w:lvlJc w:val="left"/>
      <w:pPr>
        <w:tabs>
          <w:tab w:val="num" w:pos="3600"/>
        </w:tabs>
        <w:ind w:left="3600" w:hanging="360"/>
      </w:pPr>
      <w:rPr>
        <w:rFonts w:ascii="Wingdings" w:hAnsi="Wingdings" w:hint="default"/>
        <w:sz w:val="20"/>
      </w:rPr>
    </w:lvl>
    <w:lvl w:ilvl="5" w:tplc="474814EC" w:tentative="1">
      <w:start w:val="1"/>
      <w:numFmt w:val="bullet"/>
      <w:lvlText w:val=""/>
      <w:lvlJc w:val="left"/>
      <w:pPr>
        <w:tabs>
          <w:tab w:val="num" w:pos="4320"/>
        </w:tabs>
        <w:ind w:left="4320" w:hanging="360"/>
      </w:pPr>
      <w:rPr>
        <w:rFonts w:ascii="Wingdings" w:hAnsi="Wingdings" w:hint="default"/>
        <w:sz w:val="20"/>
      </w:rPr>
    </w:lvl>
    <w:lvl w:ilvl="6" w:tplc="299E0ABA" w:tentative="1">
      <w:start w:val="1"/>
      <w:numFmt w:val="bullet"/>
      <w:lvlText w:val=""/>
      <w:lvlJc w:val="left"/>
      <w:pPr>
        <w:tabs>
          <w:tab w:val="num" w:pos="5040"/>
        </w:tabs>
        <w:ind w:left="5040" w:hanging="360"/>
      </w:pPr>
      <w:rPr>
        <w:rFonts w:ascii="Wingdings" w:hAnsi="Wingdings" w:hint="default"/>
        <w:sz w:val="20"/>
      </w:rPr>
    </w:lvl>
    <w:lvl w:ilvl="7" w:tplc="E040AED2" w:tentative="1">
      <w:start w:val="1"/>
      <w:numFmt w:val="bullet"/>
      <w:lvlText w:val=""/>
      <w:lvlJc w:val="left"/>
      <w:pPr>
        <w:tabs>
          <w:tab w:val="num" w:pos="5760"/>
        </w:tabs>
        <w:ind w:left="5760" w:hanging="360"/>
      </w:pPr>
      <w:rPr>
        <w:rFonts w:ascii="Wingdings" w:hAnsi="Wingdings" w:hint="default"/>
        <w:sz w:val="20"/>
      </w:rPr>
    </w:lvl>
    <w:lvl w:ilvl="8" w:tplc="1E5C3B0A"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44D151F"/>
    <w:multiLevelType w:val="hybridMultilevel"/>
    <w:tmpl w:val="E0B6664C"/>
    <w:lvl w:ilvl="0" w:tplc="CA22FB08">
      <w:start w:val="1"/>
      <w:numFmt w:val="bullet"/>
      <w:lvlText w:val=""/>
      <w:lvlJc w:val="left"/>
      <w:pPr>
        <w:tabs>
          <w:tab w:val="num" w:pos="720"/>
        </w:tabs>
        <w:ind w:left="720" w:hanging="360"/>
      </w:pPr>
      <w:rPr>
        <w:rFonts w:ascii="Symbol" w:hAnsi="Symbol" w:hint="default"/>
        <w:sz w:val="20"/>
      </w:rPr>
    </w:lvl>
    <w:lvl w:ilvl="1" w:tplc="1A6860A6">
      <w:start w:val="1"/>
      <w:numFmt w:val="bullet"/>
      <w:lvlText w:val="o"/>
      <w:lvlJc w:val="left"/>
      <w:pPr>
        <w:tabs>
          <w:tab w:val="num" w:pos="1440"/>
        </w:tabs>
        <w:ind w:left="1440" w:hanging="360"/>
      </w:pPr>
      <w:rPr>
        <w:rFonts w:ascii="Courier New" w:hAnsi="Courier New" w:hint="default"/>
        <w:sz w:val="20"/>
      </w:rPr>
    </w:lvl>
    <w:lvl w:ilvl="2" w:tplc="1C3EEC7C" w:tentative="1">
      <w:start w:val="1"/>
      <w:numFmt w:val="bullet"/>
      <w:lvlText w:val=""/>
      <w:lvlJc w:val="left"/>
      <w:pPr>
        <w:tabs>
          <w:tab w:val="num" w:pos="2160"/>
        </w:tabs>
        <w:ind w:left="2160" w:hanging="360"/>
      </w:pPr>
      <w:rPr>
        <w:rFonts w:ascii="Wingdings" w:hAnsi="Wingdings" w:hint="default"/>
        <w:sz w:val="20"/>
      </w:rPr>
    </w:lvl>
    <w:lvl w:ilvl="3" w:tplc="FE824EF0" w:tentative="1">
      <w:start w:val="1"/>
      <w:numFmt w:val="bullet"/>
      <w:lvlText w:val=""/>
      <w:lvlJc w:val="left"/>
      <w:pPr>
        <w:tabs>
          <w:tab w:val="num" w:pos="2880"/>
        </w:tabs>
        <w:ind w:left="2880" w:hanging="360"/>
      </w:pPr>
      <w:rPr>
        <w:rFonts w:ascii="Wingdings" w:hAnsi="Wingdings" w:hint="default"/>
        <w:sz w:val="20"/>
      </w:rPr>
    </w:lvl>
    <w:lvl w:ilvl="4" w:tplc="D0DAE8B8" w:tentative="1">
      <w:start w:val="1"/>
      <w:numFmt w:val="bullet"/>
      <w:lvlText w:val=""/>
      <w:lvlJc w:val="left"/>
      <w:pPr>
        <w:tabs>
          <w:tab w:val="num" w:pos="3600"/>
        </w:tabs>
        <w:ind w:left="3600" w:hanging="360"/>
      </w:pPr>
      <w:rPr>
        <w:rFonts w:ascii="Wingdings" w:hAnsi="Wingdings" w:hint="default"/>
        <w:sz w:val="20"/>
      </w:rPr>
    </w:lvl>
    <w:lvl w:ilvl="5" w:tplc="96CC9F60" w:tentative="1">
      <w:start w:val="1"/>
      <w:numFmt w:val="bullet"/>
      <w:lvlText w:val=""/>
      <w:lvlJc w:val="left"/>
      <w:pPr>
        <w:tabs>
          <w:tab w:val="num" w:pos="4320"/>
        </w:tabs>
        <w:ind w:left="4320" w:hanging="360"/>
      </w:pPr>
      <w:rPr>
        <w:rFonts w:ascii="Wingdings" w:hAnsi="Wingdings" w:hint="default"/>
        <w:sz w:val="20"/>
      </w:rPr>
    </w:lvl>
    <w:lvl w:ilvl="6" w:tplc="C5CE01D0" w:tentative="1">
      <w:start w:val="1"/>
      <w:numFmt w:val="bullet"/>
      <w:lvlText w:val=""/>
      <w:lvlJc w:val="left"/>
      <w:pPr>
        <w:tabs>
          <w:tab w:val="num" w:pos="5040"/>
        </w:tabs>
        <w:ind w:left="5040" w:hanging="360"/>
      </w:pPr>
      <w:rPr>
        <w:rFonts w:ascii="Wingdings" w:hAnsi="Wingdings" w:hint="default"/>
        <w:sz w:val="20"/>
      </w:rPr>
    </w:lvl>
    <w:lvl w:ilvl="7" w:tplc="EBCEDEC0" w:tentative="1">
      <w:start w:val="1"/>
      <w:numFmt w:val="bullet"/>
      <w:lvlText w:val=""/>
      <w:lvlJc w:val="left"/>
      <w:pPr>
        <w:tabs>
          <w:tab w:val="num" w:pos="5760"/>
        </w:tabs>
        <w:ind w:left="5760" w:hanging="360"/>
      </w:pPr>
      <w:rPr>
        <w:rFonts w:ascii="Wingdings" w:hAnsi="Wingdings" w:hint="default"/>
        <w:sz w:val="20"/>
      </w:rPr>
    </w:lvl>
    <w:lvl w:ilvl="8" w:tplc="178A61F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49541D1"/>
    <w:multiLevelType w:val="hybridMultilevel"/>
    <w:tmpl w:val="BB902562"/>
    <w:lvl w:ilvl="0" w:tplc="E1E83668">
      <w:start w:val="1"/>
      <w:numFmt w:val="low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9" w15:restartNumberingAfterBreak="0">
    <w:nsid w:val="1C756EDF"/>
    <w:multiLevelType w:val="hybridMultilevel"/>
    <w:tmpl w:val="86ECB368"/>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1E067934"/>
    <w:multiLevelType w:val="hybridMultilevel"/>
    <w:tmpl w:val="37169256"/>
    <w:lvl w:ilvl="0" w:tplc="5344DE9E">
      <w:start w:val="1"/>
      <w:numFmt w:val="bullet"/>
      <w:lvlText w:val=""/>
      <w:lvlJc w:val="left"/>
      <w:pPr>
        <w:tabs>
          <w:tab w:val="num" w:pos="720"/>
        </w:tabs>
        <w:ind w:left="720" w:hanging="360"/>
      </w:pPr>
      <w:rPr>
        <w:rFonts w:ascii="Symbol" w:hAnsi="Symbol" w:hint="default"/>
        <w:sz w:val="20"/>
      </w:rPr>
    </w:lvl>
    <w:lvl w:ilvl="1" w:tplc="09345C96">
      <w:start w:val="1"/>
      <w:numFmt w:val="bullet"/>
      <w:lvlText w:val="o"/>
      <w:lvlJc w:val="left"/>
      <w:pPr>
        <w:tabs>
          <w:tab w:val="num" w:pos="1440"/>
        </w:tabs>
        <w:ind w:left="1440" w:hanging="360"/>
      </w:pPr>
      <w:rPr>
        <w:rFonts w:ascii="Courier New" w:hAnsi="Courier New" w:hint="default"/>
        <w:sz w:val="20"/>
      </w:rPr>
    </w:lvl>
    <w:lvl w:ilvl="2" w:tplc="5E94B40E" w:tentative="1">
      <w:start w:val="1"/>
      <w:numFmt w:val="bullet"/>
      <w:lvlText w:val=""/>
      <w:lvlJc w:val="left"/>
      <w:pPr>
        <w:tabs>
          <w:tab w:val="num" w:pos="2160"/>
        </w:tabs>
        <w:ind w:left="2160" w:hanging="360"/>
      </w:pPr>
      <w:rPr>
        <w:rFonts w:ascii="Wingdings" w:hAnsi="Wingdings" w:hint="default"/>
        <w:sz w:val="20"/>
      </w:rPr>
    </w:lvl>
    <w:lvl w:ilvl="3" w:tplc="28BE517E" w:tentative="1">
      <w:start w:val="1"/>
      <w:numFmt w:val="bullet"/>
      <w:lvlText w:val=""/>
      <w:lvlJc w:val="left"/>
      <w:pPr>
        <w:tabs>
          <w:tab w:val="num" w:pos="2880"/>
        </w:tabs>
        <w:ind w:left="2880" w:hanging="360"/>
      </w:pPr>
      <w:rPr>
        <w:rFonts w:ascii="Wingdings" w:hAnsi="Wingdings" w:hint="default"/>
        <w:sz w:val="20"/>
      </w:rPr>
    </w:lvl>
    <w:lvl w:ilvl="4" w:tplc="9F32D9F4" w:tentative="1">
      <w:start w:val="1"/>
      <w:numFmt w:val="bullet"/>
      <w:lvlText w:val=""/>
      <w:lvlJc w:val="left"/>
      <w:pPr>
        <w:tabs>
          <w:tab w:val="num" w:pos="3600"/>
        </w:tabs>
        <w:ind w:left="3600" w:hanging="360"/>
      </w:pPr>
      <w:rPr>
        <w:rFonts w:ascii="Wingdings" w:hAnsi="Wingdings" w:hint="default"/>
        <w:sz w:val="20"/>
      </w:rPr>
    </w:lvl>
    <w:lvl w:ilvl="5" w:tplc="198673C4" w:tentative="1">
      <w:start w:val="1"/>
      <w:numFmt w:val="bullet"/>
      <w:lvlText w:val=""/>
      <w:lvlJc w:val="left"/>
      <w:pPr>
        <w:tabs>
          <w:tab w:val="num" w:pos="4320"/>
        </w:tabs>
        <w:ind w:left="4320" w:hanging="360"/>
      </w:pPr>
      <w:rPr>
        <w:rFonts w:ascii="Wingdings" w:hAnsi="Wingdings" w:hint="default"/>
        <w:sz w:val="20"/>
      </w:rPr>
    </w:lvl>
    <w:lvl w:ilvl="6" w:tplc="83B64392" w:tentative="1">
      <w:start w:val="1"/>
      <w:numFmt w:val="bullet"/>
      <w:lvlText w:val=""/>
      <w:lvlJc w:val="left"/>
      <w:pPr>
        <w:tabs>
          <w:tab w:val="num" w:pos="5040"/>
        </w:tabs>
        <w:ind w:left="5040" w:hanging="360"/>
      </w:pPr>
      <w:rPr>
        <w:rFonts w:ascii="Wingdings" w:hAnsi="Wingdings" w:hint="default"/>
        <w:sz w:val="20"/>
      </w:rPr>
    </w:lvl>
    <w:lvl w:ilvl="7" w:tplc="CC7AEB66" w:tentative="1">
      <w:start w:val="1"/>
      <w:numFmt w:val="bullet"/>
      <w:lvlText w:val=""/>
      <w:lvlJc w:val="left"/>
      <w:pPr>
        <w:tabs>
          <w:tab w:val="num" w:pos="5760"/>
        </w:tabs>
        <w:ind w:left="5760" w:hanging="360"/>
      </w:pPr>
      <w:rPr>
        <w:rFonts w:ascii="Wingdings" w:hAnsi="Wingdings" w:hint="default"/>
        <w:sz w:val="20"/>
      </w:rPr>
    </w:lvl>
    <w:lvl w:ilvl="8" w:tplc="66264B3A"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32568D3"/>
    <w:multiLevelType w:val="hybridMultilevel"/>
    <w:tmpl w:val="5C7C96C6"/>
    <w:lvl w:ilvl="0" w:tplc="AFAA9A38">
      <w:start w:val="1"/>
      <w:numFmt w:val="bullet"/>
      <w:lvlText w:val=""/>
      <w:lvlJc w:val="left"/>
      <w:pPr>
        <w:tabs>
          <w:tab w:val="num" w:pos="720"/>
        </w:tabs>
        <w:ind w:left="720" w:hanging="360"/>
      </w:pPr>
      <w:rPr>
        <w:rFonts w:ascii="Symbol" w:hAnsi="Symbol" w:hint="default"/>
        <w:sz w:val="20"/>
      </w:rPr>
    </w:lvl>
    <w:lvl w:ilvl="1" w:tplc="C252726C">
      <w:start w:val="1"/>
      <w:numFmt w:val="bullet"/>
      <w:lvlText w:val="o"/>
      <w:lvlJc w:val="left"/>
      <w:pPr>
        <w:tabs>
          <w:tab w:val="num" w:pos="1440"/>
        </w:tabs>
        <w:ind w:left="1440" w:hanging="360"/>
      </w:pPr>
      <w:rPr>
        <w:rFonts w:ascii="Courier New" w:hAnsi="Courier New" w:hint="default"/>
        <w:sz w:val="20"/>
      </w:rPr>
    </w:lvl>
    <w:lvl w:ilvl="2" w:tplc="340ACECC" w:tentative="1">
      <w:start w:val="1"/>
      <w:numFmt w:val="bullet"/>
      <w:lvlText w:val=""/>
      <w:lvlJc w:val="left"/>
      <w:pPr>
        <w:tabs>
          <w:tab w:val="num" w:pos="2160"/>
        </w:tabs>
        <w:ind w:left="2160" w:hanging="360"/>
      </w:pPr>
      <w:rPr>
        <w:rFonts w:ascii="Wingdings" w:hAnsi="Wingdings" w:hint="default"/>
        <w:sz w:val="20"/>
      </w:rPr>
    </w:lvl>
    <w:lvl w:ilvl="3" w:tplc="E832819E" w:tentative="1">
      <w:start w:val="1"/>
      <w:numFmt w:val="bullet"/>
      <w:lvlText w:val=""/>
      <w:lvlJc w:val="left"/>
      <w:pPr>
        <w:tabs>
          <w:tab w:val="num" w:pos="2880"/>
        </w:tabs>
        <w:ind w:left="2880" w:hanging="360"/>
      </w:pPr>
      <w:rPr>
        <w:rFonts w:ascii="Wingdings" w:hAnsi="Wingdings" w:hint="default"/>
        <w:sz w:val="20"/>
      </w:rPr>
    </w:lvl>
    <w:lvl w:ilvl="4" w:tplc="FED029DE" w:tentative="1">
      <w:start w:val="1"/>
      <w:numFmt w:val="bullet"/>
      <w:lvlText w:val=""/>
      <w:lvlJc w:val="left"/>
      <w:pPr>
        <w:tabs>
          <w:tab w:val="num" w:pos="3600"/>
        </w:tabs>
        <w:ind w:left="3600" w:hanging="360"/>
      </w:pPr>
      <w:rPr>
        <w:rFonts w:ascii="Wingdings" w:hAnsi="Wingdings" w:hint="default"/>
        <w:sz w:val="20"/>
      </w:rPr>
    </w:lvl>
    <w:lvl w:ilvl="5" w:tplc="B79A0446" w:tentative="1">
      <w:start w:val="1"/>
      <w:numFmt w:val="bullet"/>
      <w:lvlText w:val=""/>
      <w:lvlJc w:val="left"/>
      <w:pPr>
        <w:tabs>
          <w:tab w:val="num" w:pos="4320"/>
        </w:tabs>
        <w:ind w:left="4320" w:hanging="360"/>
      </w:pPr>
      <w:rPr>
        <w:rFonts w:ascii="Wingdings" w:hAnsi="Wingdings" w:hint="default"/>
        <w:sz w:val="20"/>
      </w:rPr>
    </w:lvl>
    <w:lvl w:ilvl="6" w:tplc="6A84B9A8" w:tentative="1">
      <w:start w:val="1"/>
      <w:numFmt w:val="bullet"/>
      <w:lvlText w:val=""/>
      <w:lvlJc w:val="left"/>
      <w:pPr>
        <w:tabs>
          <w:tab w:val="num" w:pos="5040"/>
        </w:tabs>
        <w:ind w:left="5040" w:hanging="360"/>
      </w:pPr>
      <w:rPr>
        <w:rFonts w:ascii="Wingdings" w:hAnsi="Wingdings" w:hint="default"/>
        <w:sz w:val="20"/>
      </w:rPr>
    </w:lvl>
    <w:lvl w:ilvl="7" w:tplc="DBE2062E" w:tentative="1">
      <w:start w:val="1"/>
      <w:numFmt w:val="bullet"/>
      <w:lvlText w:val=""/>
      <w:lvlJc w:val="left"/>
      <w:pPr>
        <w:tabs>
          <w:tab w:val="num" w:pos="5760"/>
        </w:tabs>
        <w:ind w:left="5760" w:hanging="360"/>
      </w:pPr>
      <w:rPr>
        <w:rFonts w:ascii="Wingdings" w:hAnsi="Wingdings" w:hint="default"/>
        <w:sz w:val="20"/>
      </w:rPr>
    </w:lvl>
    <w:lvl w:ilvl="8" w:tplc="569E4190"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9B6D9A"/>
    <w:multiLevelType w:val="hybridMultilevel"/>
    <w:tmpl w:val="CEBE03F6"/>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15:restartNumberingAfterBreak="0">
    <w:nsid w:val="2EAC47B5"/>
    <w:multiLevelType w:val="hybridMultilevel"/>
    <w:tmpl w:val="8142432E"/>
    <w:lvl w:ilvl="0" w:tplc="AC4C6C26">
      <w:start w:val="1"/>
      <w:numFmt w:val="bullet"/>
      <w:lvlText w:val=""/>
      <w:lvlJc w:val="left"/>
      <w:pPr>
        <w:tabs>
          <w:tab w:val="num" w:pos="720"/>
        </w:tabs>
        <w:ind w:left="720" w:hanging="360"/>
      </w:pPr>
      <w:rPr>
        <w:rFonts w:ascii="Symbol" w:hAnsi="Symbol" w:hint="default"/>
        <w:sz w:val="20"/>
      </w:rPr>
    </w:lvl>
    <w:lvl w:ilvl="1" w:tplc="83385C24">
      <w:start w:val="1"/>
      <w:numFmt w:val="bullet"/>
      <w:lvlText w:val="o"/>
      <w:lvlJc w:val="left"/>
      <w:pPr>
        <w:tabs>
          <w:tab w:val="num" w:pos="1440"/>
        </w:tabs>
        <w:ind w:left="1440" w:hanging="360"/>
      </w:pPr>
      <w:rPr>
        <w:rFonts w:ascii="Courier New" w:hAnsi="Courier New" w:hint="default"/>
        <w:sz w:val="20"/>
      </w:rPr>
    </w:lvl>
    <w:lvl w:ilvl="2" w:tplc="37DA38A0" w:tentative="1">
      <w:start w:val="1"/>
      <w:numFmt w:val="bullet"/>
      <w:lvlText w:val=""/>
      <w:lvlJc w:val="left"/>
      <w:pPr>
        <w:tabs>
          <w:tab w:val="num" w:pos="2160"/>
        </w:tabs>
        <w:ind w:left="2160" w:hanging="360"/>
      </w:pPr>
      <w:rPr>
        <w:rFonts w:ascii="Wingdings" w:hAnsi="Wingdings" w:hint="default"/>
        <w:sz w:val="20"/>
      </w:rPr>
    </w:lvl>
    <w:lvl w:ilvl="3" w:tplc="AB846A40" w:tentative="1">
      <w:start w:val="1"/>
      <w:numFmt w:val="bullet"/>
      <w:lvlText w:val=""/>
      <w:lvlJc w:val="left"/>
      <w:pPr>
        <w:tabs>
          <w:tab w:val="num" w:pos="2880"/>
        </w:tabs>
        <w:ind w:left="2880" w:hanging="360"/>
      </w:pPr>
      <w:rPr>
        <w:rFonts w:ascii="Wingdings" w:hAnsi="Wingdings" w:hint="default"/>
        <w:sz w:val="20"/>
      </w:rPr>
    </w:lvl>
    <w:lvl w:ilvl="4" w:tplc="A9E89A26" w:tentative="1">
      <w:start w:val="1"/>
      <w:numFmt w:val="bullet"/>
      <w:lvlText w:val=""/>
      <w:lvlJc w:val="left"/>
      <w:pPr>
        <w:tabs>
          <w:tab w:val="num" w:pos="3600"/>
        </w:tabs>
        <w:ind w:left="3600" w:hanging="360"/>
      </w:pPr>
      <w:rPr>
        <w:rFonts w:ascii="Wingdings" w:hAnsi="Wingdings" w:hint="default"/>
        <w:sz w:val="20"/>
      </w:rPr>
    </w:lvl>
    <w:lvl w:ilvl="5" w:tplc="0C162E6E" w:tentative="1">
      <w:start w:val="1"/>
      <w:numFmt w:val="bullet"/>
      <w:lvlText w:val=""/>
      <w:lvlJc w:val="left"/>
      <w:pPr>
        <w:tabs>
          <w:tab w:val="num" w:pos="4320"/>
        </w:tabs>
        <w:ind w:left="4320" w:hanging="360"/>
      </w:pPr>
      <w:rPr>
        <w:rFonts w:ascii="Wingdings" w:hAnsi="Wingdings" w:hint="default"/>
        <w:sz w:val="20"/>
      </w:rPr>
    </w:lvl>
    <w:lvl w:ilvl="6" w:tplc="AA3E8C98" w:tentative="1">
      <w:start w:val="1"/>
      <w:numFmt w:val="bullet"/>
      <w:lvlText w:val=""/>
      <w:lvlJc w:val="left"/>
      <w:pPr>
        <w:tabs>
          <w:tab w:val="num" w:pos="5040"/>
        </w:tabs>
        <w:ind w:left="5040" w:hanging="360"/>
      </w:pPr>
      <w:rPr>
        <w:rFonts w:ascii="Wingdings" w:hAnsi="Wingdings" w:hint="default"/>
        <w:sz w:val="20"/>
      </w:rPr>
    </w:lvl>
    <w:lvl w:ilvl="7" w:tplc="1FB6D6AA" w:tentative="1">
      <w:start w:val="1"/>
      <w:numFmt w:val="bullet"/>
      <w:lvlText w:val=""/>
      <w:lvlJc w:val="left"/>
      <w:pPr>
        <w:tabs>
          <w:tab w:val="num" w:pos="5760"/>
        </w:tabs>
        <w:ind w:left="5760" w:hanging="360"/>
      </w:pPr>
      <w:rPr>
        <w:rFonts w:ascii="Wingdings" w:hAnsi="Wingdings" w:hint="default"/>
        <w:sz w:val="20"/>
      </w:rPr>
    </w:lvl>
    <w:lvl w:ilvl="8" w:tplc="E05CB200"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2327260"/>
    <w:multiLevelType w:val="singleLevel"/>
    <w:tmpl w:val="0416000F"/>
    <w:lvl w:ilvl="0">
      <w:start w:val="4"/>
      <w:numFmt w:val="decimal"/>
      <w:lvlText w:val="%1."/>
      <w:lvlJc w:val="left"/>
      <w:pPr>
        <w:tabs>
          <w:tab w:val="num" w:pos="360"/>
        </w:tabs>
        <w:ind w:left="360" w:hanging="360"/>
      </w:pPr>
      <w:rPr>
        <w:rFonts w:hint="default"/>
      </w:rPr>
    </w:lvl>
  </w:abstractNum>
  <w:abstractNum w:abstractNumId="15" w15:restartNumberingAfterBreak="0">
    <w:nsid w:val="3F6E2412"/>
    <w:multiLevelType w:val="hybridMultilevel"/>
    <w:tmpl w:val="81D43FBE"/>
    <w:lvl w:ilvl="0" w:tplc="05A608DE">
      <w:start w:val="1"/>
      <w:numFmt w:val="decimal"/>
      <w:lvlText w:val="%1)"/>
      <w:lvlJc w:val="left"/>
      <w:pPr>
        <w:tabs>
          <w:tab w:val="num" w:pos="2247"/>
        </w:tabs>
        <w:ind w:left="2247" w:hanging="960"/>
      </w:pPr>
      <w:rPr>
        <w:rFonts w:hint="default"/>
      </w:rPr>
    </w:lvl>
    <w:lvl w:ilvl="1" w:tplc="04090019" w:tentative="1">
      <w:start w:val="1"/>
      <w:numFmt w:val="lowerLetter"/>
      <w:lvlText w:val="%2."/>
      <w:lvlJc w:val="left"/>
      <w:pPr>
        <w:tabs>
          <w:tab w:val="num" w:pos="2367"/>
        </w:tabs>
        <w:ind w:left="2367" w:hanging="360"/>
      </w:pPr>
    </w:lvl>
    <w:lvl w:ilvl="2" w:tplc="0409001B" w:tentative="1">
      <w:start w:val="1"/>
      <w:numFmt w:val="lowerRoman"/>
      <w:lvlText w:val="%3."/>
      <w:lvlJc w:val="right"/>
      <w:pPr>
        <w:tabs>
          <w:tab w:val="num" w:pos="3087"/>
        </w:tabs>
        <w:ind w:left="3087" w:hanging="180"/>
      </w:pPr>
    </w:lvl>
    <w:lvl w:ilvl="3" w:tplc="0409000F" w:tentative="1">
      <w:start w:val="1"/>
      <w:numFmt w:val="decimal"/>
      <w:lvlText w:val="%4."/>
      <w:lvlJc w:val="left"/>
      <w:pPr>
        <w:tabs>
          <w:tab w:val="num" w:pos="3807"/>
        </w:tabs>
        <w:ind w:left="3807" w:hanging="360"/>
      </w:pPr>
    </w:lvl>
    <w:lvl w:ilvl="4" w:tplc="04090019" w:tentative="1">
      <w:start w:val="1"/>
      <w:numFmt w:val="lowerLetter"/>
      <w:lvlText w:val="%5."/>
      <w:lvlJc w:val="left"/>
      <w:pPr>
        <w:tabs>
          <w:tab w:val="num" w:pos="4527"/>
        </w:tabs>
        <w:ind w:left="4527" w:hanging="360"/>
      </w:pPr>
    </w:lvl>
    <w:lvl w:ilvl="5" w:tplc="0409001B" w:tentative="1">
      <w:start w:val="1"/>
      <w:numFmt w:val="lowerRoman"/>
      <w:lvlText w:val="%6."/>
      <w:lvlJc w:val="right"/>
      <w:pPr>
        <w:tabs>
          <w:tab w:val="num" w:pos="5247"/>
        </w:tabs>
        <w:ind w:left="5247" w:hanging="180"/>
      </w:pPr>
    </w:lvl>
    <w:lvl w:ilvl="6" w:tplc="0409000F" w:tentative="1">
      <w:start w:val="1"/>
      <w:numFmt w:val="decimal"/>
      <w:lvlText w:val="%7."/>
      <w:lvlJc w:val="left"/>
      <w:pPr>
        <w:tabs>
          <w:tab w:val="num" w:pos="5967"/>
        </w:tabs>
        <w:ind w:left="5967" w:hanging="360"/>
      </w:pPr>
    </w:lvl>
    <w:lvl w:ilvl="7" w:tplc="04090019" w:tentative="1">
      <w:start w:val="1"/>
      <w:numFmt w:val="lowerLetter"/>
      <w:lvlText w:val="%8."/>
      <w:lvlJc w:val="left"/>
      <w:pPr>
        <w:tabs>
          <w:tab w:val="num" w:pos="6687"/>
        </w:tabs>
        <w:ind w:left="6687" w:hanging="360"/>
      </w:pPr>
    </w:lvl>
    <w:lvl w:ilvl="8" w:tplc="0409001B" w:tentative="1">
      <w:start w:val="1"/>
      <w:numFmt w:val="lowerRoman"/>
      <w:lvlText w:val="%9."/>
      <w:lvlJc w:val="right"/>
      <w:pPr>
        <w:tabs>
          <w:tab w:val="num" w:pos="7407"/>
        </w:tabs>
        <w:ind w:left="7407" w:hanging="180"/>
      </w:pPr>
    </w:lvl>
  </w:abstractNum>
  <w:abstractNum w:abstractNumId="16" w15:restartNumberingAfterBreak="0">
    <w:nsid w:val="3F845B8B"/>
    <w:multiLevelType w:val="hybridMultilevel"/>
    <w:tmpl w:val="76AE4CDE"/>
    <w:lvl w:ilvl="0" w:tplc="3B6AA87C">
      <w:start w:val="1"/>
      <w:numFmt w:val="bullet"/>
      <w:lvlText w:val=""/>
      <w:lvlJc w:val="left"/>
      <w:pPr>
        <w:tabs>
          <w:tab w:val="num" w:pos="720"/>
        </w:tabs>
        <w:ind w:left="720" w:hanging="360"/>
      </w:pPr>
      <w:rPr>
        <w:rFonts w:ascii="Symbol" w:hAnsi="Symbol" w:hint="default"/>
        <w:sz w:val="20"/>
      </w:rPr>
    </w:lvl>
    <w:lvl w:ilvl="1" w:tplc="185E1C9A" w:tentative="1">
      <w:start w:val="1"/>
      <w:numFmt w:val="bullet"/>
      <w:lvlText w:val="o"/>
      <w:lvlJc w:val="left"/>
      <w:pPr>
        <w:tabs>
          <w:tab w:val="num" w:pos="1440"/>
        </w:tabs>
        <w:ind w:left="1440" w:hanging="360"/>
      </w:pPr>
      <w:rPr>
        <w:rFonts w:ascii="Courier New" w:hAnsi="Courier New" w:hint="default"/>
        <w:sz w:val="20"/>
      </w:rPr>
    </w:lvl>
    <w:lvl w:ilvl="2" w:tplc="A5B835B0" w:tentative="1">
      <w:start w:val="1"/>
      <w:numFmt w:val="bullet"/>
      <w:lvlText w:val=""/>
      <w:lvlJc w:val="left"/>
      <w:pPr>
        <w:tabs>
          <w:tab w:val="num" w:pos="2160"/>
        </w:tabs>
        <w:ind w:left="2160" w:hanging="360"/>
      </w:pPr>
      <w:rPr>
        <w:rFonts w:ascii="Wingdings" w:hAnsi="Wingdings" w:hint="default"/>
        <w:sz w:val="20"/>
      </w:rPr>
    </w:lvl>
    <w:lvl w:ilvl="3" w:tplc="F814C68E" w:tentative="1">
      <w:start w:val="1"/>
      <w:numFmt w:val="bullet"/>
      <w:lvlText w:val=""/>
      <w:lvlJc w:val="left"/>
      <w:pPr>
        <w:tabs>
          <w:tab w:val="num" w:pos="2880"/>
        </w:tabs>
        <w:ind w:left="2880" w:hanging="360"/>
      </w:pPr>
      <w:rPr>
        <w:rFonts w:ascii="Wingdings" w:hAnsi="Wingdings" w:hint="default"/>
        <w:sz w:val="20"/>
      </w:rPr>
    </w:lvl>
    <w:lvl w:ilvl="4" w:tplc="BA807914" w:tentative="1">
      <w:start w:val="1"/>
      <w:numFmt w:val="bullet"/>
      <w:lvlText w:val=""/>
      <w:lvlJc w:val="left"/>
      <w:pPr>
        <w:tabs>
          <w:tab w:val="num" w:pos="3600"/>
        </w:tabs>
        <w:ind w:left="3600" w:hanging="360"/>
      </w:pPr>
      <w:rPr>
        <w:rFonts w:ascii="Wingdings" w:hAnsi="Wingdings" w:hint="default"/>
        <w:sz w:val="20"/>
      </w:rPr>
    </w:lvl>
    <w:lvl w:ilvl="5" w:tplc="6A92E1B0" w:tentative="1">
      <w:start w:val="1"/>
      <w:numFmt w:val="bullet"/>
      <w:lvlText w:val=""/>
      <w:lvlJc w:val="left"/>
      <w:pPr>
        <w:tabs>
          <w:tab w:val="num" w:pos="4320"/>
        </w:tabs>
        <w:ind w:left="4320" w:hanging="360"/>
      </w:pPr>
      <w:rPr>
        <w:rFonts w:ascii="Wingdings" w:hAnsi="Wingdings" w:hint="default"/>
        <w:sz w:val="20"/>
      </w:rPr>
    </w:lvl>
    <w:lvl w:ilvl="6" w:tplc="C636796E" w:tentative="1">
      <w:start w:val="1"/>
      <w:numFmt w:val="bullet"/>
      <w:lvlText w:val=""/>
      <w:lvlJc w:val="left"/>
      <w:pPr>
        <w:tabs>
          <w:tab w:val="num" w:pos="5040"/>
        </w:tabs>
        <w:ind w:left="5040" w:hanging="360"/>
      </w:pPr>
      <w:rPr>
        <w:rFonts w:ascii="Wingdings" w:hAnsi="Wingdings" w:hint="default"/>
        <w:sz w:val="20"/>
      </w:rPr>
    </w:lvl>
    <w:lvl w:ilvl="7" w:tplc="FB987EBA" w:tentative="1">
      <w:start w:val="1"/>
      <w:numFmt w:val="bullet"/>
      <w:lvlText w:val=""/>
      <w:lvlJc w:val="left"/>
      <w:pPr>
        <w:tabs>
          <w:tab w:val="num" w:pos="5760"/>
        </w:tabs>
        <w:ind w:left="5760" w:hanging="360"/>
      </w:pPr>
      <w:rPr>
        <w:rFonts w:ascii="Wingdings" w:hAnsi="Wingdings" w:hint="default"/>
        <w:sz w:val="20"/>
      </w:rPr>
    </w:lvl>
    <w:lvl w:ilvl="8" w:tplc="313065B2"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3EF59F3"/>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44662F56"/>
    <w:multiLevelType w:val="hybridMultilevel"/>
    <w:tmpl w:val="0D164D78"/>
    <w:lvl w:ilvl="0" w:tplc="D1928112">
      <w:start w:val="1"/>
      <w:numFmt w:val="low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15:restartNumberingAfterBreak="0">
    <w:nsid w:val="45E77A9B"/>
    <w:multiLevelType w:val="hybridMultilevel"/>
    <w:tmpl w:val="3E34B436"/>
    <w:lvl w:ilvl="0" w:tplc="A580CFB8">
      <w:start w:val="1"/>
      <w:numFmt w:val="decimal"/>
      <w:lvlText w:val="%1."/>
      <w:lvlJc w:val="left"/>
      <w:pPr>
        <w:tabs>
          <w:tab w:val="num" w:pos="1683"/>
        </w:tabs>
        <w:ind w:left="1683" w:hanging="975"/>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20" w15:restartNumberingAfterBreak="0">
    <w:nsid w:val="46754975"/>
    <w:multiLevelType w:val="singleLevel"/>
    <w:tmpl w:val="0416000F"/>
    <w:lvl w:ilvl="0">
      <w:start w:val="1"/>
      <w:numFmt w:val="decimal"/>
      <w:lvlText w:val="%1."/>
      <w:lvlJc w:val="left"/>
      <w:pPr>
        <w:tabs>
          <w:tab w:val="num" w:pos="360"/>
        </w:tabs>
        <w:ind w:left="360" w:hanging="360"/>
      </w:pPr>
      <w:rPr>
        <w:rFonts w:hint="default"/>
      </w:rPr>
    </w:lvl>
  </w:abstractNum>
  <w:abstractNum w:abstractNumId="21" w15:restartNumberingAfterBreak="0">
    <w:nsid w:val="4C226677"/>
    <w:multiLevelType w:val="hybridMultilevel"/>
    <w:tmpl w:val="51EAE2E0"/>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2" w15:restartNumberingAfterBreak="0">
    <w:nsid w:val="4CDD0A79"/>
    <w:multiLevelType w:val="singleLevel"/>
    <w:tmpl w:val="D88869CE"/>
    <w:lvl w:ilvl="0">
      <w:start w:val="1"/>
      <w:numFmt w:val="lowerRoman"/>
      <w:lvlText w:val="(%1)"/>
      <w:lvlJc w:val="left"/>
      <w:pPr>
        <w:tabs>
          <w:tab w:val="num" w:pos="1425"/>
        </w:tabs>
        <w:ind w:left="1425" w:hanging="720"/>
      </w:pPr>
      <w:rPr>
        <w:rFonts w:hint="default"/>
      </w:rPr>
    </w:lvl>
  </w:abstractNum>
  <w:abstractNum w:abstractNumId="23" w15:restartNumberingAfterBreak="0">
    <w:nsid w:val="4D685E58"/>
    <w:multiLevelType w:val="singleLevel"/>
    <w:tmpl w:val="27460E80"/>
    <w:lvl w:ilvl="0">
      <w:start w:val="1"/>
      <w:numFmt w:val="lowerRoman"/>
      <w:lvlText w:val="(%1)"/>
      <w:lvlJc w:val="left"/>
      <w:pPr>
        <w:tabs>
          <w:tab w:val="num" w:pos="1488"/>
        </w:tabs>
        <w:ind w:left="1488" w:hanging="720"/>
      </w:pPr>
      <w:rPr>
        <w:rFonts w:hint="default"/>
      </w:rPr>
    </w:lvl>
  </w:abstractNum>
  <w:abstractNum w:abstractNumId="24" w15:restartNumberingAfterBreak="0">
    <w:nsid w:val="59DF16B4"/>
    <w:multiLevelType w:val="hybridMultilevel"/>
    <w:tmpl w:val="CC265882"/>
    <w:lvl w:ilvl="0" w:tplc="AB988138">
      <w:start w:val="1"/>
      <w:numFmt w:val="decimal"/>
      <w:lvlText w:val="%1)"/>
      <w:lvlJc w:val="left"/>
      <w:pPr>
        <w:tabs>
          <w:tab w:val="num" w:pos="1713"/>
        </w:tabs>
        <w:ind w:left="1713" w:hanging="1005"/>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25" w15:restartNumberingAfterBreak="0">
    <w:nsid w:val="61430C3C"/>
    <w:multiLevelType w:val="hybridMultilevel"/>
    <w:tmpl w:val="D0C22594"/>
    <w:lvl w:ilvl="0" w:tplc="DA8A592E">
      <w:start w:val="1"/>
      <w:numFmt w:val="low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15:restartNumberingAfterBreak="0">
    <w:nsid w:val="625A70D4"/>
    <w:multiLevelType w:val="hybridMultilevel"/>
    <w:tmpl w:val="36D87D2A"/>
    <w:lvl w:ilvl="0" w:tplc="F85687E8">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7" w15:restartNumberingAfterBreak="0">
    <w:nsid w:val="64A31000"/>
    <w:multiLevelType w:val="hybridMultilevel"/>
    <w:tmpl w:val="E70425FC"/>
    <w:lvl w:ilvl="0" w:tplc="80FE0F2C">
      <w:start w:val="1"/>
      <w:numFmt w:val="bullet"/>
      <w:lvlText w:val="•"/>
      <w:lvlJc w:val="left"/>
      <w:pPr>
        <w:tabs>
          <w:tab w:val="num" w:pos="720"/>
        </w:tabs>
        <w:ind w:left="720" w:hanging="360"/>
      </w:pPr>
      <w:rPr>
        <w:rFonts w:ascii="Times New Roman" w:hAnsi="Times New Roman" w:hint="default"/>
      </w:rPr>
    </w:lvl>
    <w:lvl w:ilvl="1" w:tplc="4AF4DDC8" w:tentative="1">
      <w:start w:val="1"/>
      <w:numFmt w:val="bullet"/>
      <w:lvlText w:val="•"/>
      <w:lvlJc w:val="left"/>
      <w:pPr>
        <w:tabs>
          <w:tab w:val="num" w:pos="1440"/>
        </w:tabs>
        <w:ind w:left="1440" w:hanging="360"/>
      </w:pPr>
      <w:rPr>
        <w:rFonts w:ascii="Times New Roman" w:hAnsi="Times New Roman" w:hint="default"/>
      </w:rPr>
    </w:lvl>
    <w:lvl w:ilvl="2" w:tplc="FD0C6E6E" w:tentative="1">
      <w:start w:val="1"/>
      <w:numFmt w:val="bullet"/>
      <w:lvlText w:val="•"/>
      <w:lvlJc w:val="left"/>
      <w:pPr>
        <w:tabs>
          <w:tab w:val="num" w:pos="2160"/>
        </w:tabs>
        <w:ind w:left="2160" w:hanging="360"/>
      </w:pPr>
      <w:rPr>
        <w:rFonts w:ascii="Times New Roman" w:hAnsi="Times New Roman" w:hint="default"/>
      </w:rPr>
    </w:lvl>
    <w:lvl w:ilvl="3" w:tplc="CB680FCC" w:tentative="1">
      <w:start w:val="1"/>
      <w:numFmt w:val="bullet"/>
      <w:lvlText w:val="•"/>
      <w:lvlJc w:val="left"/>
      <w:pPr>
        <w:tabs>
          <w:tab w:val="num" w:pos="2880"/>
        </w:tabs>
        <w:ind w:left="2880" w:hanging="360"/>
      </w:pPr>
      <w:rPr>
        <w:rFonts w:ascii="Times New Roman" w:hAnsi="Times New Roman" w:hint="default"/>
      </w:rPr>
    </w:lvl>
    <w:lvl w:ilvl="4" w:tplc="4C189128" w:tentative="1">
      <w:start w:val="1"/>
      <w:numFmt w:val="bullet"/>
      <w:lvlText w:val="•"/>
      <w:lvlJc w:val="left"/>
      <w:pPr>
        <w:tabs>
          <w:tab w:val="num" w:pos="3600"/>
        </w:tabs>
        <w:ind w:left="3600" w:hanging="360"/>
      </w:pPr>
      <w:rPr>
        <w:rFonts w:ascii="Times New Roman" w:hAnsi="Times New Roman" w:hint="default"/>
      </w:rPr>
    </w:lvl>
    <w:lvl w:ilvl="5" w:tplc="118C808E" w:tentative="1">
      <w:start w:val="1"/>
      <w:numFmt w:val="bullet"/>
      <w:lvlText w:val="•"/>
      <w:lvlJc w:val="left"/>
      <w:pPr>
        <w:tabs>
          <w:tab w:val="num" w:pos="4320"/>
        </w:tabs>
        <w:ind w:left="4320" w:hanging="360"/>
      </w:pPr>
      <w:rPr>
        <w:rFonts w:ascii="Times New Roman" w:hAnsi="Times New Roman" w:hint="default"/>
      </w:rPr>
    </w:lvl>
    <w:lvl w:ilvl="6" w:tplc="3B78D1D8" w:tentative="1">
      <w:start w:val="1"/>
      <w:numFmt w:val="bullet"/>
      <w:lvlText w:val="•"/>
      <w:lvlJc w:val="left"/>
      <w:pPr>
        <w:tabs>
          <w:tab w:val="num" w:pos="5040"/>
        </w:tabs>
        <w:ind w:left="5040" w:hanging="360"/>
      </w:pPr>
      <w:rPr>
        <w:rFonts w:ascii="Times New Roman" w:hAnsi="Times New Roman" w:hint="default"/>
      </w:rPr>
    </w:lvl>
    <w:lvl w:ilvl="7" w:tplc="FB407080" w:tentative="1">
      <w:start w:val="1"/>
      <w:numFmt w:val="bullet"/>
      <w:lvlText w:val="•"/>
      <w:lvlJc w:val="left"/>
      <w:pPr>
        <w:tabs>
          <w:tab w:val="num" w:pos="5760"/>
        </w:tabs>
        <w:ind w:left="5760" w:hanging="360"/>
      </w:pPr>
      <w:rPr>
        <w:rFonts w:ascii="Times New Roman" w:hAnsi="Times New Roman" w:hint="default"/>
      </w:rPr>
    </w:lvl>
    <w:lvl w:ilvl="8" w:tplc="4464231C"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6573472C"/>
    <w:multiLevelType w:val="hybridMultilevel"/>
    <w:tmpl w:val="2E723A40"/>
    <w:lvl w:ilvl="0" w:tplc="1868C906">
      <w:start w:val="1"/>
      <w:numFmt w:val="bullet"/>
      <w:lvlText w:val=""/>
      <w:lvlJc w:val="left"/>
      <w:pPr>
        <w:tabs>
          <w:tab w:val="num" w:pos="720"/>
        </w:tabs>
        <w:ind w:left="720" w:hanging="360"/>
      </w:pPr>
      <w:rPr>
        <w:rFonts w:ascii="Symbol" w:hAnsi="Symbol" w:hint="default"/>
        <w:sz w:val="20"/>
      </w:rPr>
    </w:lvl>
    <w:lvl w:ilvl="1" w:tplc="937A575E">
      <w:start w:val="1"/>
      <w:numFmt w:val="bullet"/>
      <w:lvlText w:val="o"/>
      <w:lvlJc w:val="left"/>
      <w:pPr>
        <w:tabs>
          <w:tab w:val="num" w:pos="1440"/>
        </w:tabs>
        <w:ind w:left="1440" w:hanging="360"/>
      </w:pPr>
      <w:rPr>
        <w:rFonts w:ascii="Courier New" w:hAnsi="Courier New" w:hint="default"/>
        <w:sz w:val="20"/>
      </w:rPr>
    </w:lvl>
    <w:lvl w:ilvl="2" w:tplc="4B0ED90E" w:tentative="1">
      <w:start w:val="1"/>
      <w:numFmt w:val="bullet"/>
      <w:lvlText w:val=""/>
      <w:lvlJc w:val="left"/>
      <w:pPr>
        <w:tabs>
          <w:tab w:val="num" w:pos="2160"/>
        </w:tabs>
        <w:ind w:left="2160" w:hanging="360"/>
      </w:pPr>
      <w:rPr>
        <w:rFonts w:ascii="Wingdings" w:hAnsi="Wingdings" w:hint="default"/>
        <w:sz w:val="20"/>
      </w:rPr>
    </w:lvl>
    <w:lvl w:ilvl="3" w:tplc="8146F4B0" w:tentative="1">
      <w:start w:val="1"/>
      <w:numFmt w:val="bullet"/>
      <w:lvlText w:val=""/>
      <w:lvlJc w:val="left"/>
      <w:pPr>
        <w:tabs>
          <w:tab w:val="num" w:pos="2880"/>
        </w:tabs>
        <w:ind w:left="2880" w:hanging="360"/>
      </w:pPr>
      <w:rPr>
        <w:rFonts w:ascii="Wingdings" w:hAnsi="Wingdings" w:hint="default"/>
        <w:sz w:val="20"/>
      </w:rPr>
    </w:lvl>
    <w:lvl w:ilvl="4" w:tplc="C06098B8" w:tentative="1">
      <w:start w:val="1"/>
      <w:numFmt w:val="bullet"/>
      <w:lvlText w:val=""/>
      <w:lvlJc w:val="left"/>
      <w:pPr>
        <w:tabs>
          <w:tab w:val="num" w:pos="3600"/>
        </w:tabs>
        <w:ind w:left="3600" w:hanging="360"/>
      </w:pPr>
      <w:rPr>
        <w:rFonts w:ascii="Wingdings" w:hAnsi="Wingdings" w:hint="default"/>
        <w:sz w:val="20"/>
      </w:rPr>
    </w:lvl>
    <w:lvl w:ilvl="5" w:tplc="3F7852E0" w:tentative="1">
      <w:start w:val="1"/>
      <w:numFmt w:val="bullet"/>
      <w:lvlText w:val=""/>
      <w:lvlJc w:val="left"/>
      <w:pPr>
        <w:tabs>
          <w:tab w:val="num" w:pos="4320"/>
        </w:tabs>
        <w:ind w:left="4320" w:hanging="360"/>
      </w:pPr>
      <w:rPr>
        <w:rFonts w:ascii="Wingdings" w:hAnsi="Wingdings" w:hint="default"/>
        <w:sz w:val="20"/>
      </w:rPr>
    </w:lvl>
    <w:lvl w:ilvl="6" w:tplc="C710309C" w:tentative="1">
      <w:start w:val="1"/>
      <w:numFmt w:val="bullet"/>
      <w:lvlText w:val=""/>
      <w:lvlJc w:val="left"/>
      <w:pPr>
        <w:tabs>
          <w:tab w:val="num" w:pos="5040"/>
        </w:tabs>
        <w:ind w:left="5040" w:hanging="360"/>
      </w:pPr>
      <w:rPr>
        <w:rFonts w:ascii="Wingdings" w:hAnsi="Wingdings" w:hint="default"/>
        <w:sz w:val="20"/>
      </w:rPr>
    </w:lvl>
    <w:lvl w:ilvl="7" w:tplc="3EA22C90" w:tentative="1">
      <w:start w:val="1"/>
      <w:numFmt w:val="bullet"/>
      <w:lvlText w:val=""/>
      <w:lvlJc w:val="left"/>
      <w:pPr>
        <w:tabs>
          <w:tab w:val="num" w:pos="5760"/>
        </w:tabs>
        <w:ind w:left="5760" w:hanging="360"/>
      </w:pPr>
      <w:rPr>
        <w:rFonts w:ascii="Wingdings" w:hAnsi="Wingdings" w:hint="default"/>
        <w:sz w:val="20"/>
      </w:rPr>
    </w:lvl>
    <w:lvl w:ilvl="8" w:tplc="0E2AC53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67CC41D7"/>
    <w:multiLevelType w:val="hybridMultilevel"/>
    <w:tmpl w:val="3DA8E3D0"/>
    <w:lvl w:ilvl="0" w:tplc="2B0254D8">
      <w:start w:val="1"/>
      <w:numFmt w:val="bullet"/>
      <w:lvlText w:val=""/>
      <w:lvlJc w:val="left"/>
      <w:pPr>
        <w:tabs>
          <w:tab w:val="num" w:pos="720"/>
        </w:tabs>
        <w:ind w:left="720" w:hanging="360"/>
      </w:pPr>
      <w:rPr>
        <w:rFonts w:ascii="Symbol" w:hAnsi="Symbol" w:hint="default"/>
        <w:sz w:val="20"/>
      </w:rPr>
    </w:lvl>
    <w:lvl w:ilvl="1" w:tplc="59BE48F6">
      <w:start w:val="1"/>
      <w:numFmt w:val="bullet"/>
      <w:lvlText w:val="o"/>
      <w:lvlJc w:val="left"/>
      <w:pPr>
        <w:tabs>
          <w:tab w:val="num" w:pos="1440"/>
        </w:tabs>
        <w:ind w:left="1440" w:hanging="360"/>
      </w:pPr>
      <w:rPr>
        <w:rFonts w:ascii="Courier New" w:hAnsi="Courier New" w:hint="default"/>
        <w:sz w:val="20"/>
      </w:rPr>
    </w:lvl>
    <w:lvl w:ilvl="2" w:tplc="834CA3F4" w:tentative="1">
      <w:start w:val="1"/>
      <w:numFmt w:val="bullet"/>
      <w:lvlText w:val=""/>
      <w:lvlJc w:val="left"/>
      <w:pPr>
        <w:tabs>
          <w:tab w:val="num" w:pos="2160"/>
        </w:tabs>
        <w:ind w:left="2160" w:hanging="360"/>
      </w:pPr>
      <w:rPr>
        <w:rFonts w:ascii="Wingdings" w:hAnsi="Wingdings" w:hint="default"/>
        <w:sz w:val="20"/>
      </w:rPr>
    </w:lvl>
    <w:lvl w:ilvl="3" w:tplc="51B4C800" w:tentative="1">
      <w:start w:val="1"/>
      <w:numFmt w:val="bullet"/>
      <w:lvlText w:val=""/>
      <w:lvlJc w:val="left"/>
      <w:pPr>
        <w:tabs>
          <w:tab w:val="num" w:pos="2880"/>
        </w:tabs>
        <w:ind w:left="2880" w:hanging="360"/>
      </w:pPr>
      <w:rPr>
        <w:rFonts w:ascii="Wingdings" w:hAnsi="Wingdings" w:hint="default"/>
        <w:sz w:val="20"/>
      </w:rPr>
    </w:lvl>
    <w:lvl w:ilvl="4" w:tplc="29DAF39E" w:tentative="1">
      <w:start w:val="1"/>
      <w:numFmt w:val="bullet"/>
      <w:lvlText w:val=""/>
      <w:lvlJc w:val="left"/>
      <w:pPr>
        <w:tabs>
          <w:tab w:val="num" w:pos="3600"/>
        </w:tabs>
        <w:ind w:left="3600" w:hanging="360"/>
      </w:pPr>
      <w:rPr>
        <w:rFonts w:ascii="Wingdings" w:hAnsi="Wingdings" w:hint="default"/>
        <w:sz w:val="20"/>
      </w:rPr>
    </w:lvl>
    <w:lvl w:ilvl="5" w:tplc="AE441B60" w:tentative="1">
      <w:start w:val="1"/>
      <w:numFmt w:val="bullet"/>
      <w:lvlText w:val=""/>
      <w:lvlJc w:val="left"/>
      <w:pPr>
        <w:tabs>
          <w:tab w:val="num" w:pos="4320"/>
        </w:tabs>
        <w:ind w:left="4320" w:hanging="360"/>
      </w:pPr>
      <w:rPr>
        <w:rFonts w:ascii="Wingdings" w:hAnsi="Wingdings" w:hint="default"/>
        <w:sz w:val="20"/>
      </w:rPr>
    </w:lvl>
    <w:lvl w:ilvl="6" w:tplc="7B784648" w:tentative="1">
      <w:start w:val="1"/>
      <w:numFmt w:val="bullet"/>
      <w:lvlText w:val=""/>
      <w:lvlJc w:val="left"/>
      <w:pPr>
        <w:tabs>
          <w:tab w:val="num" w:pos="5040"/>
        </w:tabs>
        <w:ind w:left="5040" w:hanging="360"/>
      </w:pPr>
      <w:rPr>
        <w:rFonts w:ascii="Wingdings" w:hAnsi="Wingdings" w:hint="default"/>
        <w:sz w:val="20"/>
      </w:rPr>
    </w:lvl>
    <w:lvl w:ilvl="7" w:tplc="9BD8412E" w:tentative="1">
      <w:start w:val="1"/>
      <w:numFmt w:val="bullet"/>
      <w:lvlText w:val=""/>
      <w:lvlJc w:val="left"/>
      <w:pPr>
        <w:tabs>
          <w:tab w:val="num" w:pos="5760"/>
        </w:tabs>
        <w:ind w:left="5760" w:hanging="360"/>
      </w:pPr>
      <w:rPr>
        <w:rFonts w:ascii="Wingdings" w:hAnsi="Wingdings" w:hint="default"/>
        <w:sz w:val="20"/>
      </w:rPr>
    </w:lvl>
    <w:lvl w:ilvl="8" w:tplc="ED764CFE"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8CA5216"/>
    <w:multiLevelType w:val="hybridMultilevel"/>
    <w:tmpl w:val="C0286F74"/>
    <w:lvl w:ilvl="0" w:tplc="FFD4215A">
      <w:start w:val="1"/>
      <w:numFmt w:val="low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1" w15:restartNumberingAfterBreak="0">
    <w:nsid w:val="696B0D0D"/>
    <w:multiLevelType w:val="hybridMultilevel"/>
    <w:tmpl w:val="85825204"/>
    <w:lvl w:ilvl="0" w:tplc="3446E054">
      <w:start w:val="1"/>
      <w:numFmt w:val="low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2" w15:restartNumberingAfterBreak="0">
    <w:nsid w:val="6A96449F"/>
    <w:multiLevelType w:val="hybridMultilevel"/>
    <w:tmpl w:val="88AA7746"/>
    <w:lvl w:ilvl="0" w:tplc="3776F468">
      <w:start w:val="1"/>
      <w:numFmt w:val="bullet"/>
      <w:lvlText w:val=""/>
      <w:lvlJc w:val="left"/>
      <w:pPr>
        <w:tabs>
          <w:tab w:val="num" w:pos="720"/>
        </w:tabs>
        <w:ind w:left="720" w:hanging="360"/>
      </w:pPr>
      <w:rPr>
        <w:rFonts w:ascii="Symbol" w:hAnsi="Symbol" w:hint="default"/>
        <w:sz w:val="20"/>
      </w:rPr>
    </w:lvl>
    <w:lvl w:ilvl="1" w:tplc="BB94B8FE">
      <w:start w:val="1"/>
      <w:numFmt w:val="bullet"/>
      <w:lvlText w:val="o"/>
      <w:lvlJc w:val="left"/>
      <w:pPr>
        <w:tabs>
          <w:tab w:val="num" w:pos="1440"/>
        </w:tabs>
        <w:ind w:left="1440" w:hanging="360"/>
      </w:pPr>
      <w:rPr>
        <w:rFonts w:ascii="Courier New" w:hAnsi="Courier New" w:hint="default"/>
        <w:sz w:val="20"/>
      </w:rPr>
    </w:lvl>
    <w:lvl w:ilvl="2" w:tplc="6332FFF2" w:tentative="1">
      <w:start w:val="1"/>
      <w:numFmt w:val="bullet"/>
      <w:lvlText w:val=""/>
      <w:lvlJc w:val="left"/>
      <w:pPr>
        <w:tabs>
          <w:tab w:val="num" w:pos="2160"/>
        </w:tabs>
        <w:ind w:left="2160" w:hanging="360"/>
      </w:pPr>
      <w:rPr>
        <w:rFonts w:ascii="Wingdings" w:hAnsi="Wingdings" w:hint="default"/>
        <w:sz w:val="20"/>
      </w:rPr>
    </w:lvl>
    <w:lvl w:ilvl="3" w:tplc="7FFC8228" w:tentative="1">
      <w:start w:val="1"/>
      <w:numFmt w:val="bullet"/>
      <w:lvlText w:val=""/>
      <w:lvlJc w:val="left"/>
      <w:pPr>
        <w:tabs>
          <w:tab w:val="num" w:pos="2880"/>
        </w:tabs>
        <w:ind w:left="2880" w:hanging="360"/>
      </w:pPr>
      <w:rPr>
        <w:rFonts w:ascii="Wingdings" w:hAnsi="Wingdings" w:hint="default"/>
        <w:sz w:val="20"/>
      </w:rPr>
    </w:lvl>
    <w:lvl w:ilvl="4" w:tplc="BEE4D62E" w:tentative="1">
      <w:start w:val="1"/>
      <w:numFmt w:val="bullet"/>
      <w:lvlText w:val=""/>
      <w:lvlJc w:val="left"/>
      <w:pPr>
        <w:tabs>
          <w:tab w:val="num" w:pos="3600"/>
        </w:tabs>
        <w:ind w:left="3600" w:hanging="360"/>
      </w:pPr>
      <w:rPr>
        <w:rFonts w:ascii="Wingdings" w:hAnsi="Wingdings" w:hint="default"/>
        <w:sz w:val="20"/>
      </w:rPr>
    </w:lvl>
    <w:lvl w:ilvl="5" w:tplc="2C12234A" w:tentative="1">
      <w:start w:val="1"/>
      <w:numFmt w:val="bullet"/>
      <w:lvlText w:val=""/>
      <w:lvlJc w:val="left"/>
      <w:pPr>
        <w:tabs>
          <w:tab w:val="num" w:pos="4320"/>
        </w:tabs>
        <w:ind w:left="4320" w:hanging="360"/>
      </w:pPr>
      <w:rPr>
        <w:rFonts w:ascii="Wingdings" w:hAnsi="Wingdings" w:hint="default"/>
        <w:sz w:val="20"/>
      </w:rPr>
    </w:lvl>
    <w:lvl w:ilvl="6" w:tplc="0F383BC0" w:tentative="1">
      <w:start w:val="1"/>
      <w:numFmt w:val="bullet"/>
      <w:lvlText w:val=""/>
      <w:lvlJc w:val="left"/>
      <w:pPr>
        <w:tabs>
          <w:tab w:val="num" w:pos="5040"/>
        </w:tabs>
        <w:ind w:left="5040" w:hanging="360"/>
      </w:pPr>
      <w:rPr>
        <w:rFonts w:ascii="Wingdings" w:hAnsi="Wingdings" w:hint="default"/>
        <w:sz w:val="20"/>
      </w:rPr>
    </w:lvl>
    <w:lvl w:ilvl="7" w:tplc="C80C0D96" w:tentative="1">
      <w:start w:val="1"/>
      <w:numFmt w:val="bullet"/>
      <w:lvlText w:val=""/>
      <w:lvlJc w:val="left"/>
      <w:pPr>
        <w:tabs>
          <w:tab w:val="num" w:pos="5760"/>
        </w:tabs>
        <w:ind w:left="5760" w:hanging="360"/>
      </w:pPr>
      <w:rPr>
        <w:rFonts w:ascii="Wingdings" w:hAnsi="Wingdings" w:hint="default"/>
        <w:sz w:val="20"/>
      </w:rPr>
    </w:lvl>
    <w:lvl w:ilvl="8" w:tplc="853256D6"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0B52F06"/>
    <w:multiLevelType w:val="hybridMultilevel"/>
    <w:tmpl w:val="6BAC2406"/>
    <w:lvl w:ilvl="0" w:tplc="697AF1DE">
      <w:start w:val="1"/>
      <w:numFmt w:val="bullet"/>
      <w:lvlText w:val=""/>
      <w:lvlJc w:val="left"/>
      <w:pPr>
        <w:tabs>
          <w:tab w:val="num" w:pos="720"/>
        </w:tabs>
        <w:ind w:left="720" w:hanging="360"/>
      </w:pPr>
      <w:rPr>
        <w:rFonts w:ascii="Symbol" w:hAnsi="Symbol" w:hint="default"/>
        <w:sz w:val="20"/>
      </w:rPr>
    </w:lvl>
    <w:lvl w:ilvl="1" w:tplc="5B182268" w:tentative="1">
      <w:start w:val="1"/>
      <w:numFmt w:val="bullet"/>
      <w:lvlText w:val="o"/>
      <w:lvlJc w:val="left"/>
      <w:pPr>
        <w:tabs>
          <w:tab w:val="num" w:pos="1440"/>
        </w:tabs>
        <w:ind w:left="1440" w:hanging="360"/>
      </w:pPr>
      <w:rPr>
        <w:rFonts w:ascii="Courier New" w:hAnsi="Courier New" w:hint="default"/>
        <w:sz w:val="20"/>
      </w:rPr>
    </w:lvl>
    <w:lvl w:ilvl="2" w:tplc="3190B148" w:tentative="1">
      <w:start w:val="1"/>
      <w:numFmt w:val="bullet"/>
      <w:lvlText w:val=""/>
      <w:lvlJc w:val="left"/>
      <w:pPr>
        <w:tabs>
          <w:tab w:val="num" w:pos="2160"/>
        </w:tabs>
        <w:ind w:left="2160" w:hanging="360"/>
      </w:pPr>
      <w:rPr>
        <w:rFonts w:ascii="Wingdings" w:hAnsi="Wingdings" w:hint="default"/>
        <w:sz w:val="20"/>
      </w:rPr>
    </w:lvl>
    <w:lvl w:ilvl="3" w:tplc="8A16DBA0" w:tentative="1">
      <w:start w:val="1"/>
      <w:numFmt w:val="bullet"/>
      <w:lvlText w:val=""/>
      <w:lvlJc w:val="left"/>
      <w:pPr>
        <w:tabs>
          <w:tab w:val="num" w:pos="2880"/>
        </w:tabs>
        <w:ind w:left="2880" w:hanging="360"/>
      </w:pPr>
      <w:rPr>
        <w:rFonts w:ascii="Wingdings" w:hAnsi="Wingdings" w:hint="default"/>
        <w:sz w:val="20"/>
      </w:rPr>
    </w:lvl>
    <w:lvl w:ilvl="4" w:tplc="3CF84B9C" w:tentative="1">
      <w:start w:val="1"/>
      <w:numFmt w:val="bullet"/>
      <w:lvlText w:val=""/>
      <w:lvlJc w:val="left"/>
      <w:pPr>
        <w:tabs>
          <w:tab w:val="num" w:pos="3600"/>
        </w:tabs>
        <w:ind w:left="3600" w:hanging="360"/>
      </w:pPr>
      <w:rPr>
        <w:rFonts w:ascii="Wingdings" w:hAnsi="Wingdings" w:hint="default"/>
        <w:sz w:val="20"/>
      </w:rPr>
    </w:lvl>
    <w:lvl w:ilvl="5" w:tplc="06A680B8" w:tentative="1">
      <w:start w:val="1"/>
      <w:numFmt w:val="bullet"/>
      <w:lvlText w:val=""/>
      <w:lvlJc w:val="left"/>
      <w:pPr>
        <w:tabs>
          <w:tab w:val="num" w:pos="4320"/>
        </w:tabs>
        <w:ind w:left="4320" w:hanging="360"/>
      </w:pPr>
      <w:rPr>
        <w:rFonts w:ascii="Wingdings" w:hAnsi="Wingdings" w:hint="default"/>
        <w:sz w:val="20"/>
      </w:rPr>
    </w:lvl>
    <w:lvl w:ilvl="6" w:tplc="73785678" w:tentative="1">
      <w:start w:val="1"/>
      <w:numFmt w:val="bullet"/>
      <w:lvlText w:val=""/>
      <w:lvlJc w:val="left"/>
      <w:pPr>
        <w:tabs>
          <w:tab w:val="num" w:pos="5040"/>
        </w:tabs>
        <w:ind w:left="5040" w:hanging="360"/>
      </w:pPr>
      <w:rPr>
        <w:rFonts w:ascii="Wingdings" w:hAnsi="Wingdings" w:hint="default"/>
        <w:sz w:val="20"/>
      </w:rPr>
    </w:lvl>
    <w:lvl w:ilvl="7" w:tplc="B2DE9FDE" w:tentative="1">
      <w:start w:val="1"/>
      <w:numFmt w:val="bullet"/>
      <w:lvlText w:val=""/>
      <w:lvlJc w:val="left"/>
      <w:pPr>
        <w:tabs>
          <w:tab w:val="num" w:pos="5760"/>
        </w:tabs>
        <w:ind w:left="5760" w:hanging="360"/>
      </w:pPr>
      <w:rPr>
        <w:rFonts w:ascii="Wingdings" w:hAnsi="Wingdings" w:hint="default"/>
        <w:sz w:val="20"/>
      </w:rPr>
    </w:lvl>
    <w:lvl w:ilvl="8" w:tplc="AFB432D2"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1906A25"/>
    <w:multiLevelType w:val="hybridMultilevel"/>
    <w:tmpl w:val="51F6BBF0"/>
    <w:lvl w:ilvl="0" w:tplc="04090011">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72962E48"/>
    <w:multiLevelType w:val="hybridMultilevel"/>
    <w:tmpl w:val="5FDAA91A"/>
    <w:lvl w:ilvl="0" w:tplc="FE083AF4">
      <w:start w:val="1"/>
      <w:numFmt w:val="bullet"/>
      <w:lvlText w:val=""/>
      <w:lvlJc w:val="left"/>
      <w:pPr>
        <w:tabs>
          <w:tab w:val="num" w:pos="720"/>
        </w:tabs>
        <w:ind w:left="720" w:hanging="360"/>
      </w:pPr>
      <w:rPr>
        <w:rFonts w:ascii="Symbol" w:hAnsi="Symbol" w:hint="default"/>
        <w:sz w:val="20"/>
      </w:rPr>
    </w:lvl>
    <w:lvl w:ilvl="1" w:tplc="013E099A">
      <w:start w:val="1"/>
      <w:numFmt w:val="bullet"/>
      <w:lvlText w:val="o"/>
      <w:lvlJc w:val="left"/>
      <w:pPr>
        <w:tabs>
          <w:tab w:val="num" w:pos="1440"/>
        </w:tabs>
        <w:ind w:left="1440" w:hanging="360"/>
      </w:pPr>
      <w:rPr>
        <w:rFonts w:ascii="Courier New" w:hAnsi="Courier New" w:hint="default"/>
        <w:sz w:val="20"/>
      </w:rPr>
    </w:lvl>
    <w:lvl w:ilvl="2" w:tplc="BA4C82F4" w:tentative="1">
      <w:start w:val="1"/>
      <w:numFmt w:val="bullet"/>
      <w:lvlText w:val=""/>
      <w:lvlJc w:val="left"/>
      <w:pPr>
        <w:tabs>
          <w:tab w:val="num" w:pos="2160"/>
        </w:tabs>
        <w:ind w:left="2160" w:hanging="360"/>
      </w:pPr>
      <w:rPr>
        <w:rFonts w:ascii="Wingdings" w:hAnsi="Wingdings" w:hint="default"/>
        <w:sz w:val="20"/>
      </w:rPr>
    </w:lvl>
    <w:lvl w:ilvl="3" w:tplc="40CEA0E0" w:tentative="1">
      <w:start w:val="1"/>
      <w:numFmt w:val="bullet"/>
      <w:lvlText w:val=""/>
      <w:lvlJc w:val="left"/>
      <w:pPr>
        <w:tabs>
          <w:tab w:val="num" w:pos="2880"/>
        </w:tabs>
        <w:ind w:left="2880" w:hanging="360"/>
      </w:pPr>
      <w:rPr>
        <w:rFonts w:ascii="Wingdings" w:hAnsi="Wingdings" w:hint="default"/>
        <w:sz w:val="20"/>
      </w:rPr>
    </w:lvl>
    <w:lvl w:ilvl="4" w:tplc="33A6F1C6" w:tentative="1">
      <w:start w:val="1"/>
      <w:numFmt w:val="bullet"/>
      <w:lvlText w:val=""/>
      <w:lvlJc w:val="left"/>
      <w:pPr>
        <w:tabs>
          <w:tab w:val="num" w:pos="3600"/>
        </w:tabs>
        <w:ind w:left="3600" w:hanging="360"/>
      </w:pPr>
      <w:rPr>
        <w:rFonts w:ascii="Wingdings" w:hAnsi="Wingdings" w:hint="default"/>
        <w:sz w:val="20"/>
      </w:rPr>
    </w:lvl>
    <w:lvl w:ilvl="5" w:tplc="CFBCE51A" w:tentative="1">
      <w:start w:val="1"/>
      <w:numFmt w:val="bullet"/>
      <w:lvlText w:val=""/>
      <w:lvlJc w:val="left"/>
      <w:pPr>
        <w:tabs>
          <w:tab w:val="num" w:pos="4320"/>
        </w:tabs>
        <w:ind w:left="4320" w:hanging="360"/>
      </w:pPr>
      <w:rPr>
        <w:rFonts w:ascii="Wingdings" w:hAnsi="Wingdings" w:hint="default"/>
        <w:sz w:val="20"/>
      </w:rPr>
    </w:lvl>
    <w:lvl w:ilvl="6" w:tplc="A89CF9E0" w:tentative="1">
      <w:start w:val="1"/>
      <w:numFmt w:val="bullet"/>
      <w:lvlText w:val=""/>
      <w:lvlJc w:val="left"/>
      <w:pPr>
        <w:tabs>
          <w:tab w:val="num" w:pos="5040"/>
        </w:tabs>
        <w:ind w:left="5040" w:hanging="360"/>
      </w:pPr>
      <w:rPr>
        <w:rFonts w:ascii="Wingdings" w:hAnsi="Wingdings" w:hint="default"/>
        <w:sz w:val="20"/>
      </w:rPr>
    </w:lvl>
    <w:lvl w:ilvl="7" w:tplc="A0F0C202" w:tentative="1">
      <w:start w:val="1"/>
      <w:numFmt w:val="bullet"/>
      <w:lvlText w:val=""/>
      <w:lvlJc w:val="left"/>
      <w:pPr>
        <w:tabs>
          <w:tab w:val="num" w:pos="5760"/>
        </w:tabs>
        <w:ind w:left="5760" w:hanging="360"/>
      </w:pPr>
      <w:rPr>
        <w:rFonts w:ascii="Wingdings" w:hAnsi="Wingdings" w:hint="default"/>
        <w:sz w:val="20"/>
      </w:rPr>
    </w:lvl>
    <w:lvl w:ilvl="8" w:tplc="4C887C60"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758A722E"/>
    <w:multiLevelType w:val="hybridMultilevel"/>
    <w:tmpl w:val="1ABCE186"/>
    <w:lvl w:ilvl="0" w:tplc="C61CAE30">
      <w:start w:val="1"/>
      <w:numFmt w:val="low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7" w15:restartNumberingAfterBreak="0">
    <w:nsid w:val="76224DE5"/>
    <w:multiLevelType w:val="singleLevel"/>
    <w:tmpl w:val="0416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79091727"/>
    <w:multiLevelType w:val="hybridMultilevel"/>
    <w:tmpl w:val="3364ECA6"/>
    <w:lvl w:ilvl="0" w:tplc="027830CA">
      <w:start w:val="3"/>
      <w:numFmt w:val="decimal"/>
      <w:lvlText w:val="(%1)"/>
      <w:lvlJc w:val="left"/>
      <w:pPr>
        <w:tabs>
          <w:tab w:val="num" w:pos="720"/>
        </w:tabs>
        <w:ind w:left="720" w:hanging="360"/>
      </w:pPr>
      <w:rPr>
        <w:rFonts w:hint="default"/>
        <w:b/>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9" w15:restartNumberingAfterBreak="0">
    <w:nsid w:val="7B925BE3"/>
    <w:multiLevelType w:val="hybridMultilevel"/>
    <w:tmpl w:val="16647AC4"/>
    <w:lvl w:ilvl="0" w:tplc="87485BFA">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773BA0"/>
    <w:multiLevelType w:val="hybridMultilevel"/>
    <w:tmpl w:val="BFB8AE50"/>
    <w:lvl w:ilvl="0" w:tplc="AAEE0A76">
      <w:start w:val="1"/>
      <w:numFmt w:val="decimal"/>
      <w:lvlText w:val="(%1)"/>
      <w:lvlJc w:val="left"/>
      <w:pPr>
        <w:tabs>
          <w:tab w:val="num" w:pos="1773"/>
        </w:tabs>
        <w:ind w:left="1773" w:hanging="1065"/>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41" w15:restartNumberingAfterBreak="0">
    <w:nsid w:val="7D673A29"/>
    <w:multiLevelType w:val="hybridMultilevel"/>
    <w:tmpl w:val="7AB28114"/>
    <w:lvl w:ilvl="0" w:tplc="0416000F">
      <w:start w:val="1"/>
      <w:numFmt w:val="decimal"/>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42" w15:restartNumberingAfterBreak="0">
    <w:nsid w:val="7DCB27AF"/>
    <w:multiLevelType w:val="hybridMultilevel"/>
    <w:tmpl w:val="B2BA13DA"/>
    <w:lvl w:ilvl="0" w:tplc="B9EADD8A">
      <w:start w:val="1"/>
      <w:numFmt w:val="lowerRoman"/>
      <w:lvlText w:val="(%1)"/>
      <w:lvlJc w:val="left"/>
      <w:pPr>
        <w:tabs>
          <w:tab w:val="num" w:pos="780"/>
        </w:tabs>
        <w:ind w:left="780" w:hanging="720"/>
      </w:pPr>
      <w:rPr>
        <w:rFonts w:hint="default"/>
      </w:rPr>
    </w:lvl>
    <w:lvl w:ilvl="1" w:tplc="04160019" w:tentative="1">
      <w:start w:val="1"/>
      <w:numFmt w:val="lowerLetter"/>
      <w:lvlText w:val="%2."/>
      <w:lvlJc w:val="left"/>
      <w:pPr>
        <w:tabs>
          <w:tab w:val="num" w:pos="1140"/>
        </w:tabs>
        <w:ind w:left="1140" w:hanging="360"/>
      </w:pPr>
    </w:lvl>
    <w:lvl w:ilvl="2" w:tplc="0416001B" w:tentative="1">
      <w:start w:val="1"/>
      <w:numFmt w:val="lowerRoman"/>
      <w:lvlText w:val="%3."/>
      <w:lvlJc w:val="right"/>
      <w:pPr>
        <w:tabs>
          <w:tab w:val="num" w:pos="1860"/>
        </w:tabs>
        <w:ind w:left="1860" w:hanging="180"/>
      </w:pPr>
    </w:lvl>
    <w:lvl w:ilvl="3" w:tplc="0416000F" w:tentative="1">
      <w:start w:val="1"/>
      <w:numFmt w:val="decimal"/>
      <w:lvlText w:val="%4."/>
      <w:lvlJc w:val="left"/>
      <w:pPr>
        <w:tabs>
          <w:tab w:val="num" w:pos="2580"/>
        </w:tabs>
        <w:ind w:left="2580" w:hanging="360"/>
      </w:pPr>
    </w:lvl>
    <w:lvl w:ilvl="4" w:tplc="04160019" w:tentative="1">
      <w:start w:val="1"/>
      <w:numFmt w:val="lowerLetter"/>
      <w:lvlText w:val="%5."/>
      <w:lvlJc w:val="left"/>
      <w:pPr>
        <w:tabs>
          <w:tab w:val="num" w:pos="3300"/>
        </w:tabs>
        <w:ind w:left="3300" w:hanging="360"/>
      </w:pPr>
    </w:lvl>
    <w:lvl w:ilvl="5" w:tplc="0416001B" w:tentative="1">
      <w:start w:val="1"/>
      <w:numFmt w:val="lowerRoman"/>
      <w:lvlText w:val="%6."/>
      <w:lvlJc w:val="right"/>
      <w:pPr>
        <w:tabs>
          <w:tab w:val="num" w:pos="4020"/>
        </w:tabs>
        <w:ind w:left="4020" w:hanging="180"/>
      </w:pPr>
    </w:lvl>
    <w:lvl w:ilvl="6" w:tplc="0416000F" w:tentative="1">
      <w:start w:val="1"/>
      <w:numFmt w:val="decimal"/>
      <w:lvlText w:val="%7."/>
      <w:lvlJc w:val="left"/>
      <w:pPr>
        <w:tabs>
          <w:tab w:val="num" w:pos="4740"/>
        </w:tabs>
        <w:ind w:left="4740" w:hanging="360"/>
      </w:pPr>
    </w:lvl>
    <w:lvl w:ilvl="7" w:tplc="04160019" w:tentative="1">
      <w:start w:val="1"/>
      <w:numFmt w:val="lowerLetter"/>
      <w:lvlText w:val="%8."/>
      <w:lvlJc w:val="left"/>
      <w:pPr>
        <w:tabs>
          <w:tab w:val="num" w:pos="5460"/>
        </w:tabs>
        <w:ind w:left="5460" w:hanging="360"/>
      </w:pPr>
    </w:lvl>
    <w:lvl w:ilvl="8" w:tplc="0416001B" w:tentative="1">
      <w:start w:val="1"/>
      <w:numFmt w:val="lowerRoman"/>
      <w:lvlText w:val="%9."/>
      <w:lvlJc w:val="right"/>
      <w:pPr>
        <w:tabs>
          <w:tab w:val="num" w:pos="6180"/>
        </w:tabs>
        <w:ind w:left="6180" w:hanging="180"/>
      </w:pPr>
    </w:lvl>
  </w:abstractNum>
  <w:num w:numId="1">
    <w:abstractNumId w:val="21"/>
  </w:num>
  <w:num w:numId="2">
    <w:abstractNumId w:val="12"/>
  </w:num>
  <w:num w:numId="3">
    <w:abstractNumId w:val="9"/>
  </w:num>
  <w:num w:numId="4">
    <w:abstractNumId w:val="15"/>
  </w:num>
  <w:num w:numId="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6">
    <w:abstractNumId w:val="27"/>
  </w:num>
  <w:num w:numId="7">
    <w:abstractNumId w:val="17"/>
  </w:num>
  <w:num w:numId="8">
    <w:abstractNumId w:val="37"/>
  </w:num>
  <w:num w:numId="9">
    <w:abstractNumId w:val="32"/>
  </w:num>
  <w:num w:numId="10">
    <w:abstractNumId w:val="29"/>
  </w:num>
  <w:num w:numId="11">
    <w:abstractNumId w:val="2"/>
  </w:num>
  <w:num w:numId="12">
    <w:abstractNumId w:val="13"/>
  </w:num>
  <w:num w:numId="13">
    <w:abstractNumId w:val="7"/>
  </w:num>
  <w:num w:numId="14">
    <w:abstractNumId w:val="35"/>
  </w:num>
  <w:num w:numId="15">
    <w:abstractNumId w:val="28"/>
  </w:num>
  <w:num w:numId="16">
    <w:abstractNumId w:val="6"/>
  </w:num>
  <w:num w:numId="17">
    <w:abstractNumId w:val="10"/>
  </w:num>
  <w:num w:numId="18">
    <w:abstractNumId w:val="11"/>
  </w:num>
  <w:num w:numId="19">
    <w:abstractNumId w:val="16"/>
  </w:num>
  <w:num w:numId="20">
    <w:abstractNumId w:val="33"/>
  </w:num>
  <w:num w:numId="21">
    <w:abstractNumId w:val="8"/>
  </w:num>
  <w:num w:numId="22">
    <w:abstractNumId w:val="18"/>
  </w:num>
  <w:num w:numId="23">
    <w:abstractNumId w:val="19"/>
  </w:num>
  <w:num w:numId="24">
    <w:abstractNumId w:val="40"/>
  </w:num>
  <w:num w:numId="25">
    <w:abstractNumId w:val="20"/>
  </w:num>
  <w:num w:numId="26">
    <w:abstractNumId w:val="22"/>
  </w:num>
  <w:num w:numId="27">
    <w:abstractNumId w:val="14"/>
  </w:num>
  <w:num w:numId="28">
    <w:abstractNumId w:val="5"/>
  </w:num>
  <w:num w:numId="29">
    <w:abstractNumId w:val="39"/>
  </w:num>
  <w:num w:numId="30">
    <w:abstractNumId w:val="41"/>
  </w:num>
  <w:num w:numId="31">
    <w:abstractNumId w:val="23"/>
  </w:num>
  <w:num w:numId="32">
    <w:abstractNumId w:val="24"/>
  </w:num>
  <w:num w:numId="33">
    <w:abstractNumId w:val="26"/>
  </w:num>
  <w:num w:numId="34">
    <w:abstractNumId w:val="4"/>
  </w:num>
  <w:num w:numId="35">
    <w:abstractNumId w:val="25"/>
  </w:num>
  <w:num w:numId="36">
    <w:abstractNumId w:val="42"/>
  </w:num>
  <w:num w:numId="37">
    <w:abstractNumId w:val="31"/>
  </w:num>
  <w:num w:numId="38">
    <w:abstractNumId w:val="1"/>
  </w:num>
  <w:num w:numId="39">
    <w:abstractNumId w:val="30"/>
  </w:num>
  <w:num w:numId="40">
    <w:abstractNumId w:val="3"/>
  </w:num>
  <w:num w:numId="41">
    <w:abstractNumId w:val="36"/>
  </w:num>
  <w:num w:numId="42">
    <w:abstractNumId w:val="38"/>
  </w:num>
  <w:num w:numId="43">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9"/>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0D19"/>
    <w:rsid w:val="00253BCA"/>
    <w:rsid w:val="00742C23"/>
    <w:rsid w:val="008906B8"/>
    <w:rsid w:val="009F27DA"/>
    <w:rsid w:val="00B10D19"/>
    <w:rsid w:val="00E8542A"/>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96FCA18-DD7C-2B4B-A20C-8286A3E3B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pt-BR"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10D19"/>
    <w:rPr>
      <w:rFonts w:ascii="Times New Roman" w:eastAsia="Times New Roman" w:hAnsi="Times New Roman" w:cs="Times New Roman"/>
      <w:lang w:eastAsia="pt-BR"/>
    </w:rPr>
  </w:style>
  <w:style w:type="paragraph" w:styleId="Ttulo1">
    <w:name w:val="heading 1"/>
    <w:basedOn w:val="Normal"/>
    <w:next w:val="Normal"/>
    <w:link w:val="Ttulo1Char"/>
    <w:qFormat/>
    <w:rsid w:val="00B10D19"/>
    <w:pPr>
      <w:keepNext/>
      <w:spacing w:line="360" w:lineRule="auto"/>
      <w:jc w:val="both"/>
      <w:outlineLvl w:val="0"/>
    </w:pPr>
    <w:rPr>
      <w:b/>
      <w:bCs/>
    </w:rPr>
  </w:style>
  <w:style w:type="paragraph" w:styleId="Ttulo2">
    <w:name w:val="heading 2"/>
    <w:basedOn w:val="Normal"/>
    <w:next w:val="Normal"/>
    <w:link w:val="Ttulo2Char"/>
    <w:qFormat/>
    <w:rsid w:val="00B10D19"/>
    <w:pPr>
      <w:keepNext/>
      <w:spacing w:line="360" w:lineRule="auto"/>
      <w:ind w:left="1440"/>
      <w:jc w:val="both"/>
      <w:outlineLvl w:val="1"/>
    </w:pPr>
    <w:rPr>
      <w:b/>
      <w:bCs/>
    </w:rPr>
  </w:style>
  <w:style w:type="paragraph" w:styleId="Ttulo3">
    <w:name w:val="heading 3"/>
    <w:basedOn w:val="Normal"/>
    <w:next w:val="Normal"/>
    <w:link w:val="Ttulo3Char"/>
    <w:qFormat/>
    <w:rsid w:val="00B10D19"/>
    <w:pPr>
      <w:keepNext/>
      <w:outlineLvl w:val="2"/>
    </w:pPr>
    <w:rPr>
      <w:b/>
      <w:bCs/>
      <w:color w:val="FF0000"/>
    </w:rPr>
  </w:style>
  <w:style w:type="paragraph" w:styleId="Ttulo4">
    <w:name w:val="heading 4"/>
    <w:basedOn w:val="Normal"/>
    <w:next w:val="Normal"/>
    <w:link w:val="Ttulo4Char"/>
    <w:qFormat/>
    <w:rsid w:val="00B10D19"/>
    <w:pPr>
      <w:keepNext/>
      <w:spacing w:line="360" w:lineRule="auto"/>
      <w:jc w:val="both"/>
      <w:outlineLvl w:val="3"/>
    </w:pPr>
    <w:rPr>
      <w:b/>
      <w:bCs/>
      <w:color w:val="FF0000"/>
    </w:rPr>
  </w:style>
  <w:style w:type="paragraph" w:styleId="Ttulo5">
    <w:name w:val="heading 5"/>
    <w:basedOn w:val="Normal"/>
    <w:next w:val="Normal"/>
    <w:link w:val="Ttulo5Char"/>
    <w:qFormat/>
    <w:rsid w:val="00B10D19"/>
    <w:pPr>
      <w:keepNext/>
      <w:spacing w:line="360" w:lineRule="auto"/>
      <w:jc w:val="center"/>
      <w:outlineLvl w:val="4"/>
    </w:pPr>
    <w:rPr>
      <w:b/>
      <w:bCs/>
    </w:rPr>
  </w:style>
  <w:style w:type="paragraph" w:styleId="Ttulo6">
    <w:name w:val="heading 6"/>
    <w:basedOn w:val="Normal"/>
    <w:next w:val="Normal"/>
    <w:link w:val="Ttulo6Char"/>
    <w:qFormat/>
    <w:rsid w:val="00B10D19"/>
    <w:pPr>
      <w:keepNext/>
      <w:outlineLvl w:val="5"/>
    </w:pPr>
    <w:rPr>
      <w:b/>
      <w:bCs/>
      <w:sz w:val="18"/>
    </w:rPr>
  </w:style>
  <w:style w:type="paragraph" w:styleId="Ttulo7">
    <w:name w:val="heading 7"/>
    <w:basedOn w:val="Normal"/>
    <w:next w:val="Normal"/>
    <w:link w:val="Ttulo7Char"/>
    <w:qFormat/>
    <w:rsid w:val="00B10D19"/>
    <w:pPr>
      <w:keepNext/>
      <w:spacing w:line="360" w:lineRule="auto"/>
      <w:ind w:firstLine="708"/>
      <w:jc w:val="both"/>
      <w:outlineLvl w:val="6"/>
    </w:pPr>
    <w:rPr>
      <w:b/>
    </w:rPr>
  </w:style>
  <w:style w:type="paragraph" w:styleId="Ttulo8">
    <w:name w:val="heading 8"/>
    <w:basedOn w:val="Normal"/>
    <w:next w:val="Normal"/>
    <w:link w:val="Ttulo8Char"/>
    <w:qFormat/>
    <w:rsid w:val="00B10D19"/>
    <w:pPr>
      <w:keepNext/>
      <w:autoSpaceDE w:val="0"/>
      <w:autoSpaceDN w:val="0"/>
      <w:adjustRightInd w:val="0"/>
      <w:spacing w:line="360" w:lineRule="auto"/>
      <w:jc w:val="center"/>
      <w:outlineLvl w:val="7"/>
    </w:pPr>
    <w:rPr>
      <w:b/>
      <w:bCs/>
      <w:i/>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B10D19"/>
    <w:rPr>
      <w:rFonts w:ascii="Times New Roman" w:eastAsia="Times New Roman" w:hAnsi="Times New Roman" w:cs="Times New Roman"/>
      <w:b/>
      <w:bCs/>
      <w:lang w:eastAsia="pt-BR"/>
    </w:rPr>
  </w:style>
  <w:style w:type="character" w:customStyle="1" w:styleId="Ttulo2Char">
    <w:name w:val="Título 2 Char"/>
    <w:basedOn w:val="Fontepargpadro"/>
    <w:link w:val="Ttulo2"/>
    <w:rsid w:val="00B10D19"/>
    <w:rPr>
      <w:rFonts w:ascii="Times New Roman" w:eastAsia="Times New Roman" w:hAnsi="Times New Roman" w:cs="Times New Roman"/>
      <w:b/>
      <w:bCs/>
      <w:lang w:eastAsia="pt-BR"/>
    </w:rPr>
  </w:style>
  <w:style w:type="character" w:customStyle="1" w:styleId="Ttulo3Char">
    <w:name w:val="Título 3 Char"/>
    <w:basedOn w:val="Fontepargpadro"/>
    <w:link w:val="Ttulo3"/>
    <w:rsid w:val="00B10D19"/>
    <w:rPr>
      <w:rFonts w:ascii="Times New Roman" w:eastAsia="Times New Roman" w:hAnsi="Times New Roman" w:cs="Times New Roman"/>
      <w:b/>
      <w:bCs/>
      <w:color w:val="FF0000"/>
      <w:lang w:eastAsia="pt-BR"/>
    </w:rPr>
  </w:style>
  <w:style w:type="character" w:customStyle="1" w:styleId="Ttulo4Char">
    <w:name w:val="Título 4 Char"/>
    <w:basedOn w:val="Fontepargpadro"/>
    <w:link w:val="Ttulo4"/>
    <w:rsid w:val="00B10D19"/>
    <w:rPr>
      <w:rFonts w:ascii="Times New Roman" w:eastAsia="Times New Roman" w:hAnsi="Times New Roman" w:cs="Times New Roman"/>
      <w:b/>
      <w:bCs/>
      <w:color w:val="FF0000"/>
      <w:lang w:eastAsia="pt-BR"/>
    </w:rPr>
  </w:style>
  <w:style w:type="character" w:customStyle="1" w:styleId="Ttulo5Char">
    <w:name w:val="Título 5 Char"/>
    <w:basedOn w:val="Fontepargpadro"/>
    <w:link w:val="Ttulo5"/>
    <w:rsid w:val="00B10D19"/>
    <w:rPr>
      <w:rFonts w:ascii="Times New Roman" w:eastAsia="Times New Roman" w:hAnsi="Times New Roman" w:cs="Times New Roman"/>
      <w:b/>
      <w:bCs/>
      <w:lang w:eastAsia="pt-BR"/>
    </w:rPr>
  </w:style>
  <w:style w:type="character" w:customStyle="1" w:styleId="Ttulo6Char">
    <w:name w:val="Título 6 Char"/>
    <w:basedOn w:val="Fontepargpadro"/>
    <w:link w:val="Ttulo6"/>
    <w:rsid w:val="00B10D19"/>
    <w:rPr>
      <w:rFonts w:ascii="Times New Roman" w:eastAsia="Times New Roman" w:hAnsi="Times New Roman" w:cs="Times New Roman"/>
      <w:b/>
      <w:bCs/>
      <w:sz w:val="18"/>
      <w:lang w:eastAsia="pt-BR"/>
    </w:rPr>
  </w:style>
  <w:style w:type="character" w:customStyle="1" w:styleId="Ttulo7Char">
    <w:name w:val="Título 7 Char"/>
    <w:basedOn w:val="Fontepargpadro"/>
    <w:link w:val="Ttulo7"/>
    <w:rsid w:val="00B10D19"/>
    <w:rPr>
      <w:rFonts w:ascii="Times New Roman" w:eastAsia="Times New Roman" w:hAnsi="Times New Roman" w:cs="Times New Roman"/>
      <w:b/>
      <w:lang w:eastAsia="pt-BR"/>
    </w:rPr>
  </w:style>
  <w:style w:type="character" w:customStyle="1" w:styleId="Ttulo8Char">
    <w:name w:val="Título 8 Char"/>
    <w:basedOn w:val="Fontepargpadro"/>
    <w:link w:val="Ttulo8"/>
    <w:rsid w:val="00B10D19"/>
    <w:rPr>
      <w:rFonts w:ascii="Times New Roman" w:eastAsia="Times New Roman" w:hAnsi="Times New Roman" w:cs="Times New Roman"/>
      <w:b/>
      <w:bCs/>
      <w:i/>
      <w:lang w:eastAsia="pt-BR"/>
    </w:rPr>
  </w:style>
  <w:style w:type="paragraph" w:styleId="Ttulo">
    <w:name w:val="Title"/>
    <w:basedOn w:val="Normal"/>
    <w:link w:val="TtuloChar"/>
    <w:qFormat/>
    <w:rsid w:val="00B10D19"/>
    <w:pPr>
      <w:autoSpaceDE w:val="0"/>
      <w:autoSpaceDN w:val="0"/>
      <w:adjustRightInd w:val="0"/>
      <w:jc w:val="center"/>
    </w:pPr>
    <w:rPr>
      <w:b/>
      <w:bCs/>
      <w:color w:val="000000"/>
    </w:rPr>
  </w:style>
  <w:style w:type="character" w:customStyle="1" w:styleId="TtuloChar">
    <w:name w:val="Título Char"/>
    <w:basedOn w:val="Fontepargpadro"/>
    <w:link w:val="Ttulo"/>
    <w:rsid w:val="00B10D19"/>
    <w:rPr>
      <w:rFonts w:ascii="Times New Roman" w:eastAsia="Times New Roman" w:hAnsi="Times New Roman" w:cs="Times New Roman"/>
      <w:b/>
      <w:bCs/>
      <w:color w:val="000000"/>
      <w:lang w:eastAsia="pt-BR"/>
    </w:rPr>
  </w:style>
  <w:style w:type="paragraph" w:styleId="Recuodecorpodetexto">
    <w:name w:val="Body Text Indent"/>
    <w:basedOn w:val="Normal"/>
    <w:link w:val="RecuodecorpodetextoChar"/>
    <w:rsid w:val="00B10D19"/>
    <w:pPr>
      <w:autoSpaceDE w:val="0"/>
      <w:autoSpaceDN w:val="0"/>
      <w:adjustRightInd w:val="0"/>
      <w:spacing w:line="360" w:lineRule="auto"/>
      <w:ind w:firstLine="708"/>
      <w:jc w:val="both"/>
    </w:pPr>
    <w:rPr>
      <w:color w:val="000000"/>
    </w:rPr>
  </w:style>
  <w:style w:type="character" w:customStyle="1" w:styleId="RecuodecorpodetextoChar">
    <w:name w:val="Recuo de corpo de texto Char"/>
    <w:basedOn w:val="Fontepargpadro"/>
    <w:link w:val="Recuodecorpodetexto"/>
    <w:rsid w:val="00B10D19"/>
    <w:rPr>
      <w:rFonts w:ascii="Times New Roman" w:eastAsia="Times New Roman" w:hAnsi="Times New Roman" w:cs="Times New Roman"/>
      <w:color w:val="000000"/>
      <w:lang w:eastAsia="pt-BR"/>
    </w:rPr>
  </w:style>
  <w:style w:type="paragraph" w:styleId="Recuodecorpodetexto2">
    <w:name w:val="Body Text Indent 2"/>
    <w:basedOn w:val="Normal"/>
    <w:link w:val="Recuodecorpodetexto2Char"/>
    <w:rsid w:val="00B10D19"/>
    <w:pPr>
      <w:spacing w:line="360" w:lineRule="auto"/>
      <w:ind w:firstLine="708"/>
      <w:jc w:val="both"/>
    </w:pPr>
  </w:style>
  <w:style w:type="character" w:customStyle="1" w:styleId="Recuodecorpodetexto2Char">
    <w:name w:val="Recuo de corpo de texto 2 Char"/>
    <w:basedOn w:val="Fontepargpadro"/>
    <w:link w:val="Recuodecorpodetexto2"/>
    <w:rsid w:val="00B10D19"/>
    <w:rPr>
      <w:rFonts w:ascii="Times New Roman" w:eastAsia="Times New Roman" w:hAnsi="Times New Roman" w:cs="Times New Roman"/>
      <w:lang w:eastAsia="pt-BR"/>
    </w:rPr>
  </w:style>
  <w:style w:type="paragraph" w:styleId="Recuodecorpodetexto3">
    <w:name w:val="Body Text Indent 3"/>
    <w:basedOn w:val="Normal"/>
    <w:link w:val="Recuodecorpodetexto3Char"/>
    <w:rsid w:val="00B10D19"/>
    <w:pPr>
      <w:autoSpaceDE w:val="0"/>
      <w:autoSpaceDN w:val="0"/>
      <w:adjustRightInd w:val="0"/>
      <w:spacing w:line="360" w:lineRule="auto"/>
      <w:ind w:firstLine="708"/>
      <w:jc w:val="both"/>
    </w:pPr>
    <w:rPr>
      <w:color w:val="FF0000"/>
    </w:rPr>
  </w:style>
  <w:style w:type="character" w:customStyle="1" w:styleId="Recuodecorpodetexto3Char">
    <w:name w:val="Recuo de corpo de texto 3 Char"/>
    <w:basedOn w:val="Fontepargpadro"/>
    <w:link w:val="Recuodecorpodetexto3"/>
    <w:rsid w:val="00B10D19"/>
    <w:rPr>
      <w:rFonts w:ascii="Times New Roman" w:eastAsia="Times New Roman" w:hAnsi="Times New Roman" w:cs="Times New Roman"/>
      <w:color w:val="FF0000"/>
      <w:lang w:eastAsia="pt-BR"/>
    </w:rPr>
  </w:style>
  <w:style w:type="paragraph" w:styleId="Textodenotaderodap">
    <w:name w:val="footnote text"/>
    <w:basedOn w:val="Normal"/>
    <w:link w:val="TextodenotaderodapChar"/>
    <w:semiHidden/>
    <w:rsid w:val="00B10D19"/>
    <w:pPr>
      <w:jc w:val="both"/>
    </w:pPr>
    <w:rPr>
      <w:rFonts w:ascii="Arial" w:hAnsi="Arial"/>
      <w:sz w:val="20"/>
      <w:szCs w:val="20"/>
      <w:lang w:val="en-US" w:eastAsia="en-US"/>
    </w:rPr>
  </w:style>
  <w:style w:type="character" w:customStyle="1" w:styleId="TextodenotaderodapChar">
    <w:name w:val="Texto de nota de rodapé Char"/>
    <w:basedOn w:val="Fontepargpadro"/>
    <w:link w:val="Textodenotaderodap"/>
    <w:semiHidden/>
    <w:rsid w:val="00B10D19"/>
    <w:rPr>
      <w:rFonts w:ascii="Arial" w:eastAsia="Times New Roman" w:hAnsi="Arial" w:cs="Times New Roman"/>
      <w:sz w:val="20"/>
      <w:szCs w:val="20"/>
      <w:lang w:val="en-US"/>
    </w:rPr>
  </w:style>
  <w:style w:type="character" w:styleId="Refdenotaderodap">
    <w:name w:val="footnote reference"/>
    <w:semiHidden/>
    <w:rsid w:val="00B10D19"/>
    <w:rPr>
      <w:vertAlign w:val="superscript"/>
    </w:rPr>
  </w:style>
  <w:style w:type="paragraph" w:styleId="Corpodetexto">
    <w:name w:val="Body Text"/>
    <w:basedOn w:val="Normal"/>
    <w:link w:val="CorpodetextoChar"/>
    <w:rsid w:val="00B10D19"/>
    <w:pPr>
      <w:spacing w:line="360" w:lineRule="auto"/>
      <w:jc w:val="both"/>
    </w:pPr>
  </w:style>
  <w:style w:type="character" w:customStyle="1" w:styleId="CorpodetextoChar">
    <w:name w:val="Corpo de texto Char"/>
    <w:basedOn w:val="Fontepargpadro"/>
    <w:link w:val="Corpodetexto"/>
    <w:rsid w:val="00B10D19"/>
    <w:rPr>
      <w:rFonts w:ascii="Times New Roman" w:eastAsia="Times New Roman" w:hAnsi="Times New Roman" w:cs="Times New Roman"/>
      <w:lang w:eastAsia="pt-BR"/>
    </w:rPr>
  </w:style>
  <w:style w:type="paragraph" w:styleId="Rodap">
    <w:name w:val="footer"/>
    <w:basedOn w:val="Normal"/>
    <w:link w:val="RodapChar"/>
    <w:rsid w:val="00B10D19"/>
    <w:pPr>
      <w:tabs>
        <w:tab w:val="center" w:pos="4419"/>
        <w:tab w:val="right" w:pos="8838"/>
      </w:tabs>
    </w:pPr>
  </w:style>
  <w:style w:type="character" w:customStyle="1" w:styleId="RodapChar">
    <w:name w:val="Rodapé Char"/>
    <w:basedOn w:val="Fontepargpadro"/>
    <w:link w:val="Rodap"/>
    <w:rsid w:val="00B10D19"/>
    <w:rPr>
      <w:rFonts w:ascii="Times New Roman" w:eastAsia="Times New Roman" w:hAnsi="Times New Roman" w:cs="Times New Roman"/>
      <w:lang w:eastAsia="pt-BR"/>
    </w:rPr>
  </w:style>
  <w:style w:type="character" w:styleId="Nmerodepgina">
    <w:name w:val="page number"/>
    <w:basedOn w:val="Fontepargpadro"/>
    <w:rsid w:val="00B10D19"/>
  </w:style>
  <w:style w:type="paragraph" w:styleId="Cabealho">
    <w:name w:val="header"/>
    <w:basedOn w:val="Normal"/>
    <w:link w:val="CabealhoChar"/>
    <w:rsid w:val="00B10D19"/>
    <w:pPr>
      <w:tabs>
        <w:tab w:val="center" w:pos="4419"/>
        <w:tab w:val="right" w:pos="8838"/>
      </w:tabs>
    </w:pPr>
  </w:style>
  <w:style w:type="character" w:customStyle="1" w:styleId="CabealhoChar">
    <w:name w:val="Cabeçalho Char"/>
    <w:basedOn w:val="Fontepargpadro"/>
    <w:link w:val="Cabealho"/>
    <w:rsid w:val="00B10D19"/>
    <w:rPr>
      <w:rFonts w:ascii="Times New Roman" w:eastAsia="Times New Roman" w:hAnsi="Times New Roman" w:cs="Times New Roman"/>
      <w:lang w:eastAsia="pt-BR"/>
    </w:rPr>
  </w:style>
  <w:style w:type="paragraph" w:styleId="Corpodetexto2">
    <w:name w:val="Body Text 2"/>
    <w:basedOn w:val="Normal"/>
    <w:link w:val="Corpodetexto2Char"/>
    <w:rsid w:val="00B10D19"/>
    <w:pPr>
      <w:spacing w:line="360" w:lineRule="exact"/>
      <w:jc w:val="both"/>
    </w:pPr>
    <w:rPr>
      <w:rFonts w:ascii="Arial" w:hAnsi="Arial"/>
      <w:lang w:val="en-US" w:eastAsia="en-US"/>
    </w:rPr>
  </w:style>
  <w:style w:type="character" w:customStyle="1" w:styleId="Corpodetexto2Char">
    <w:name w:val="Corpo de texto 2 Char"/>
    <w:basedOn w:val="Fontepargpadro"/>
    <w:link w:val="Corpodetexto2"/>
    <w:rsid w:val="00B10D19"/>
    <w:rPr>
      <w:rFonts w:ascii="Arial" w:eastAsia="Times New Roman" w:hAnsi="Arial" w:cs="Times New Roman"/>
      <w:lang w:val="en-US"/>
    </w:rPr>
  </w:style>
  <w:style w:type="paragraph" w:customStyle="1" w:styleId="tablinha">
    <w:name w:val="tab_linha"/>
    <w:basedOn w:val="Normal"/>
    <w:rsid w:val="00B10D19"/>
    <w:pPr>
      <w:keepNext/>
    </w:pPr>
    <w:rPr>
      <w:sz w:val="20"/>
      <w:szCs w:val="20"/>
    </w:rPr>
  </w:style>
  <w:style w:type="paragraph" w:styleId="Lista">
    <w:name w:val="List"/>
    <w:basedOn w:val="Normal"/>
    <w:rsid w:val="00B10D19"/>
    <w:pPr>
      <w:ind w:left="283" w:hanging="283"/>
    </w:pPr>
    <w:rPr>
      <w:rFonts w:ascii="Arial" w:hAnsi="Arial"/>
      <w:sz w:val="20"/>
      <w:szCs w:val="20"/>
    </w:rPr>
  </w:style>
  <w:style w:type="character" w:styleId="Hyperlink">
    <w:name w:val="Hyperlink"/>
    <w:rsid w:val="00B10D19"/>
    <w:rPr>
      <w:color w:val="0000FF"/>
      <w:u w:val="single"/>
    </w:rPr>
  </w:style>
  <w:style w:type="paragraph" w:styleId="Corpodetexto3">
    <w:name w:val="Body Text 3"/>
    <w:basedOn w:val="Normal"/>
    <w:link w:val="Corpodetexto3Char"/>
    <w:rsid w:val="00B10D19"/>
    <w:pPr>
      <w:jc w:val="center"/>
    </w:pPr>
    <w:rPr>
      <w:b/>
      <w:bCs/>
      <w:sz w:val="16"/>
    </w:rPr>
  </w:style>
  <w:style w:type="character" w:customStyle="1" w:styleId="Corpodetexto3Char">
    <w:name w:val="Corpo de texto 3 Char"/>
    <w:basedOn w:val="Fontepargpadro"/>
    <w:link w:val="Corpodetexto3"/>
    <w:rsid w:val="00B10D19"/>
    <w:rPr>
      <w:rFonts w:ascii="Times New Roman" w:eastAsia="Times New Roman" w:hAnsi="Times New Roman" w:cs="Times New Roman"/>
      <w:b/>
      <w:bCs/>
      <w:sz w:val="16"/>
      <w:lang w:eastAsia="pt-BR"/>
    </w:rPr>
  </w:style>
  <w:style w:type="paragraph" w:customStyle="1" w:styleId="BodyText21">
    <w:name w:val="Body Text 21"/>
    <w:basedOn w:val="Normal"/>
    <w:rsid w:val="00B10D19"/>
    <w:pPr>
      <w:spacing w:line="360" w:lineRule="auto"/>
      <w:ind w:firstLine="709"/>
      <w:jc w:val="both"/>
    </w:pPr>
    <w:rPr>
      <w:szCs w:val="20"/>
    </w:rPr>
  </w:style>
  <w:style w:type="paragraph" w:styleId="Lista2">
    <w:name w:val="List 2"/>
    <w:basedOn w:val="Normal"/>
    <w:rsid w:val="00B10D19"/>
    <w:pPr>
      <w:tabs>
        <w:tab w:val="left" w:pos="1701"/>
      </w:tabs>
      <w:spacing w:line="360" w:lineRule="auto"/>
      <w:jc w:val="both"/>
    </w:pPr>
    <w:rPr>
      <w:szCs w:val="20"/>
    </w:rPr>
  </w:style>
  <w:style w:type="paragraph" w:styleId="NormalWeb">
    <w:name w:val="Normal (Web)"/>
    <w:basedOn w:val="Normal"/>
    <w:rsid w:val="00B10D19"/>
    <w:pPr>
      <w:spacing w:before="100" w:beforeAutospacing="1" w:after="100" w:afterAutospacing="1"/>
    </w:pPr>
    <w:rPr>
      <w:rFonts w:ascii="Arial Unicode MS" w:eastAsia="Arial Unicode MS" w:hAnsi="Arial Unicode MS" w:cs="Arial Unicode MS"/>
    </w:rPr>
  </w:style>
  <w:style w:type="character" w:styleId="HiperlinkVisitado">
    <w:name w:val="FollowedHyperlink"/>
    <w:rsid w:val="00B10D19"/>
    <w:rPr>
      <w:color w:val="800080"/>
      <w:u w:val="single"/>
    </w:rPr>
  </w:style>
  <w:style w:type="character" w:styleId="Refdecomentrio">
    <w:name w:val="annotation reference"/>
    <w:semiHidden/>
    <w:rsid w:val="00B10D19"/>
    <w:rPr>
      <w:sz w:val="16"/>
      <w:szCs w:val="16"/>
    </w:rPr>
  </w:style>
  <w:style w:type="paragraph" w:customStyle="1" w:styleId="Estilo1">
    <w:name w:val="Estilo1"/>
    <w:basedOn w:val="Normal"/>
    <w:rsid w:val="00B10D19"/>
    <w:pPr>
      <w:spacing w:line="360" w:lineRule="exact"/>
      <w:jc w:val="both"/>
    </w:pPr>
    <w:rPr>
      <w:rFonts w:ascii="Arial" w:hAnsi="Arial"/>
      <w:sz w:val="22"/>
      <w:szCs w:val="20"/>
    </w:rPr>
  </w:style>
  <w:style w:type="paragraph" w:customStyle="1" w:styleId="Ttulo10">
    <w:name w:val="Título1"/>
    <w:basedOn w:val="Normal"/>
    <w:rsid w:val="00B10D19"/>
    <w:pPr>
      <w:spacing w:before="120" w:after="120" w:line="360" w:lineRule="exact"/>
      <w:jc w:val="center"/>
    </w:pPr>
    <w:rPr>
      <w:b/>
      <w:caps/>
      <w:sz w:val="28"/>
      <w:lang w:eastAsia="en-US"/>
    </w:rPr>
  </w:style>
  <w:style w:type="paragraph" w:styleId="Textodecomentrio">
    <w:name w:val="annotation text"/>
    <w:basedOn w:val="Normal"/>
    <w:link w:val="TextodecomentrioChar"/>
    <w:semiHidden/>
    <w:rsid w:val="00B10D19"/>
    <w:rPr>
      <w:sz w:val="20"/>
      <w:szCs w:val="20"/>
    </w:rPr>
  </w:style>
  <w:style w:type="character" w:customStyle="1" w:styleId="TextodecomentrioChar">
    <w:name w:val="Texto de comentário Char"/>
    <w:basedOn w:val="Fontepargpadro"/>
    <w:link w:val="Textodecomentrio"/>
    <w:semiHidden/>
    <w:rsid w:val="00B10D19"/>
    <w:rPr>
      <w:rFonts w:ascii="Times New Roman" w:eastAsia="Times New Roman" w:hAnsi="Times New Roman" w:cs="Times New Roman"/>
      <w:sz w:val="20"/>
      <w:szCs w:val="20"/>
      <w:lang w:eastAsia="pt-BR"/>
    </w:rPr>
  </w:style>
  <w:style w:type="paragraph" w:styleId="Textodebalo">
    <w:name w:val="Balloon Text"/>
    <w:basedOn w:val="Normal"/>
    <w:link w:val="TextodebaloChar"/>
    <w:semiHidden/>
    <w:rsid w:val="00B10D19"/>
    <w:rPr>
      <w:rFonts w:ascii="Tahoma" w:hAnsi="Tahoma" w:cs="Tahoma"/>
      <w:sz w:val="16"/>
      <w:szCs w:val="16"/>
    </w:rPr>
  </w:style>
  <w:style w:type="character" w:customStyle="1" w:styleId="TextodebaloChar">
    <w:name w:val="Texto de balão Char"/>
    <w:basedOn w:val="Fontepargpadro"/>
    <w:link w:val="Textodebalo"/>
    <w:semiHidden/>
    <w:rsid w:val="00B10D19"/>
    <w:rPr>
      <w:rFonts w:ascii="Tahoma" w:eastAsia="Times New Roman" w:hAnsi="Tahoma" w:cs="Tahoma"/>
      <w:sz w:val="16"/>
      <w:szCs w:val="16"/>
      <w:lang w:eastAsia="pt-BR"/>
    </w:rPr>
  </w:style>
  <w:style w:type="table" w:styleId="Tabelacomgrade">
    <w:name w:val="Table Grid"/>
    <w:basedOn w:val="Tabelanormal"/>
    <w:rsid w:val="00B10D19"/>
    <w:pPr>
      <w:spacing w:line="360" w:lineRule="exact"/>
      <w:jc w:val="both"/>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Normal"/>
    <w:rsid w:val="00B10D19"/>
    <w:pPr>
      <w:autoSpaceDE w:val="0"/>
      <w:autoSpaceDN w:val="0"/>
      <w:jc w:val="both"/>
    </w:pPr>
    <w:rPr>
      <w:rFonts w:ascii="Arial"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ksghome.harvard.edu/~.drodrik.academic.ksg/papers.html"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90</Pages>
  <Words>30431</Words>
  <Characters>164328</Characters>
  <Application>Microsoft Office Word</Application>
  <DocSecurity>0</DocSecurity>
  <Lines>1369</Lines>
  <Paragraphs>388</Paragraphs>
  <ScaleCrop>false</ScaleCrop>
  <Company/>
  <LinksUpToDate>false</LinksUpToDate>
  <CharactersWithSpaces>194371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Microsoft Office User</cp:lastModifiedBy>
  <cp:revision>2</cp:revision>
  <dcterms:created xsi:type="dcterms:W3CDTF">2020-06-23T20:05:00Z</dcterms:created>
  <dcterms:modified xsi:type="dcterms:W3CDTF">2020-06-23T20:05:00Z</dcterms:modified>
</cp:coreProperties>
</file>