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513493" w14:textId="5D5FA9C3" w:rsidR="00310B39" w:rsidRPr="001B2610" w:rsidRDefault="00310B39" w:rsidP="00310B39">
      <w:pPr>
        <w:spacing w:after="0" w:line="240" w:lineRule="auto"/>
        <w:jc w:val="center"/>
        <w:rPr>
          <w:b/>
          <w:sz w:val="32"/>
          <w:szCs w:val="32"/>
        </w:rPr>
      </w:pPr>
      <w:r>
        <w:rPr>
          <w:b/>
          <w:sz w:val="32"/>
          <w:szCs w:val="32"/>
        </w:rPr>
        <w:t xml:space="preserve">Plano Real, Autonomização do Banco Central, Desindustrialização e Crise </w:t>
      </w:r>
    </w:p>
    <w:p w14:paraId="6D5AD98B" w14:textId="77777777" w:rsidR="00310B39" w:rsidRDefault="00310B39" w:rsidP="00310B39">
      <w:pPr>
        <w:jc w:val="right"/>
      </w:pPr>
    </w:p>
    <w:p w14:paraId="454B521C" w14:textId="77777777" w:rsidR="008C074A" w:rsidRPr="008C074A" w:rsidRDefault="00310B39" w:rsidP="00310B39">
      <w:pPr>
        <w:spacing w:after="0" w:line="240" w:lineRule="auto"/>
        <w:rPr>
          <w:b/>
        </w:rPr>
      </w:pPr>
      <w:r w:rsidRPr="008C074A">
        <w:rPr>
          <w:b/>
        </w:rPr>
        <w:t xml:space="preserve">Resumo: </w:t>
      </w:r>
    </w:p>
    <w:p w14:paraId="5158AA26" w14:textId="7599E717" w:rsidR="003779A9" w:rsidRDefault="00310B39" w:rsidP="00310B39">
      <w:pPr>
        <w:spacing w:after="0" w:line="240" w:lineRule="auto"/>
      </w:pPr>
      <w:r>
        <w:t xml:space="preserve">O Plano Real passou por diversas fases ao longo de seus 20 anos, em função das diversas conjunturas mundiais e das inflexões das políticas fiscais e salariais das gestões </w:t>
      </w:r>
      <w:r w:rsidR="00A55AA9">
        <w:t>FHC</w:t>
      </w:r>
      <w:r>
        <w:t xml:space="preserve">, Lula e Dilma. Não obstante, a autonomização do Banco Central garantiu a preservação de sua unidade: a ancoragem cambial. Esta se traduzirá na sobrevalorização crônica da moeda nacional e, por extensão, na exposição competitiva da indústria e na paulatina desindustrialização. Interesses rentistas e do grande capital privado nacional em processo de internacionalização garantiram a sustentação desta política econômica durante o governo </w:t>
      </w:r>
      <w:r w:rsidR="00A55AA9">
        <w:t>FHC</w:t>
      </w:r>
      <w:r>
        <w:t>. A mesma foi mantida nos governos petistas na medida em que se mostrou funcional à distribuição da renda por reajustes nominais. O resultado de sua sustentação, contudo, foi a crescente perda de eficácia da política industrial e de dinamismo e autonomia da economia nacional</w:t>
      </w:r>
      <w:r w:rsidR="003779A9">
        <w:t>.</w:t>
      </w:r>
    </w:p>
    <w:p w14:paraId="518448FF" w14:textId="0FCF227C" w:rsidR="00DB551A" w:rsidRDefault="00DB551A" w:rsidP="00310B39">
      <w:pPr>
        <w:spacing w:after="0" w:line="240" w:lineRule="auto"/>
      </w:pPr>
      <w:r w:rsidRPr="008C074A">
        <w:rPr>
          <w:b/>
        </w:rPr>
        <w:t>Palavras Chave:</w:t>
      </w:r>
      <w:r>
        <w:t xml:space="preserve"> Plano Real, Âncora Cambial, Banco Central </w:t>
      </w:r>
      <w:proofErr w:type="gramStart"/>
      <w:r>
        <w:t>Independente,  Desindustrialização</w:t>
      </w:r>
      <w:proofErr w:type="gramEnd"/>
      <w:r>
        <w:t>.</w:t>
      </w:r>
    </w:p>
    <w:p w14:paraId="2C436547" w14:textId="77777777" w:rsidR="008C074A" w:rsidRDefault="008C074A" w:rsidP="00310B39">
      <w:pPr>
        <w:spacing w:after="0" w:line="240" w:lineRule="auto"/>
      </w:pPr>
    </w:p>
    <w:p w14:paraId="30911B74" w14:textId="77777777" w:rsidR="008C074A" w:rsidRDefault="00310B39" w:rsidP="0040162F">
      <w:pPr>
        <w:spacing w:after="0" w:line="240" w:lineRule="auto"/>
        <w:rPr>
          <w:lang w:val="en-US"/>
        </w:rPr>
      </w:pPr>
      <w:r w:rsidRPr="008C074A">
        <w:rPr>
          <w:b/>
          <w:lang w:val="en-US"/>
        </w:rPr>
        <w:t>Abstract:</w:t>
      </w:r>
      <w:r w:rsidRPr="003779A9">
        <w:rPr>
          <w:lang w:val="en-US"/>
        </w:rPr>
        <w:t xml:space="preserve"> </w:t>
      </w:r>
    </w:p>
    <w:p w14:paraId="5AF14CA1" w14:textId="49D6EFA1" w:rsidR="00DB551A" w:rsidRDefault="003779A9" w:rsidP="0040162F">
      <w:pPr>
        <w:spacing w:after="0" w:line="240" w:lineRule="auto"/>
        <w:rPr>
          <w:lang w:val="en-US"/>
        </w:rPr>
      </w:pPr>
      <w:r w:rsidRPr="000B64E3">
        <w:rPr>
          <w:lang w:val="en-US"/>
        </w:rPr>
        <w:t xml:space="preserve">The Real Plan went through several stages over its 20 years, </w:t>
      </w:r>
      <w:r>
        <w:rPr>
          <w:lang w:val="en-US"/>
        </w:rPr>
        <w:t xml:space="preserve">according to  </w:t>
      </w:r>
      <w:r w:rsidRPr="000B64E3">
        <w:rPr>
          <w:lang w:val="en-US"/>
        </w:rPr>
        <w:t xml:space="preserve"> many global </w:t>
      </w:r>
      <w:r>
        <w:rPr>
          <w:lang w:val="en-US"/>
        </w:rPr>
        <w:t>scenarios</w:t>
      </w:r>
      <w:r w:rsidRPr="000B64E3">
        <w:rPr>
          <w:lang w:val="en-US"/>
        </w:rPr>
        <w:t xml:space="preserve"> and inflections of </w:t>
      </w:r>
      <w:r>
        <w:rPr>
          <w:lang w:val="en-US"/>
        </w:rPr>
        <w:t xml:space="preserve">the </w:t>
      </w:r>
      <w:r w:rsidRPr="000B64E3">
        <w:rPr>
          <w:lang w:val="en-US"/>
        </w:rPr>
        <w:t xml:space="preserve">fiscal and wage policies in </w:t>
      </w:r>
      <w:r w:rsidR="00A55AA9">
        <w:rPr>
          <w:lang w:val="en-US"/>
        </w:rPr>
        <w:t>FHC</w:t>
      </w:r>
      <w:r w:rsidRPr="000B64E3">
        <w:rPr>
          <w:lang w:val="en-US"/>
        </w:rPr>
        <w:t xml:space="preserve">’s, Lula’s and Dilma’s terms. Nevertheless, the </w:t>
      </w:r>
      <w:r>
        <w:rPr>
          <w:lang w:val="en-US"/>
        </w:rPr>
        <w:t>autonomisation</w:t>
      </w:r>
      <w:r w:rsidRPr="000B64E3">
        <w:rPr>
          <w:lang w:val="en-US"/>
        </w:rPr>
        <w:t xml:space="preserve"> of the Central Bank has ensured the preservation of its unity: the exchange rate peg. This will result in chronic overvaluation of the national currency and, by extension, </w:t>
      </w:r>
      <w:r>
        <w:rPr>
          <w:lang w:val="en-US"/>
        </w:rPr>
        <w:t xml:space="preserve">in </w:t>
      </w:r>
      <w:r w:rsidRPr="000B64E3">
        <w:rPr>
          <w:lang w:val="en-US"/>
        </w:rPr>
        <w:t xml:space="preserve">the </w:t>
      </w:r>
      <w:r>
        <w:rPr>
          <w:lang w:val="en-US"/>
        </w:rPr>
        <w:t>exposure</w:t>
      </w:r>
      <w:r w:rsidRPr="000B64E3">
        <w:rPr>
          <w:lang w:val="en-US"/>
        </w:rPr>
        <w:t xml:space="preserve"> </w:t>
      </w:r>
      <w:r>
        <w:rPr>
          <w:lang w:val="en-US"/>
        </w:rPr>
        <w:t xml:space="preserve">to competition of </w:t>
      </w:r>
      <w:r w:rsidRPr="000B64E3">
        <w:rPr>
          <w:lang w:val="en-US"/>
        </w:rPr>
        <w:t xml:space="preserve">industry and gradual deindustrialization. Rentier interests and </w:t>
      </w:r>
      <w:r>
        <w:rPr>
          <w:lang w:val="en-US"/>
        </w:rPr>
        <w:t>of big</w:t>
      </w:r>
      <w:r w:rsidRPr="000B64E3">
        <w:rPr>
          <w:lang w:val="en-US"/>
        </w:rPr>
        <w:t xml:space="preserve"> domestic private capital in the process </w:t>
      </w:r>
      <w:r>
        <w:rPr>
          <w:lang w:val="en-US"/>
        </w:rPr>
        <w:t xml:space="preserve">of </w:t>
      </w:r>
      <w:r w:rsidRPr="000B64E3">
        <w:rPr>
          <w:lang w:val="en-US"/>
        </w:rPr>
        <w:t xml:space="preserve">internationalization ensured the support of this economic policy during the </w:t>
      </w:r>
      <w:r w:rsidR="00A55AA9">
        <w:rPr>
          <w:lang w:val="en-US"/>
        </w:rPr>
        <w:t>FHC</w:t>
      </w:r>
      <w:r w:rsidRPr="000B64E3">
        <w:rPr>
          <w:lang w:val="en-US"/>
        </w:rPr>
        <w:t xml:space="preserve"> government. The same</w:t>
      </w:r>
      <w:r>
        <w:rPr>
          <w:lang w:val="en-US"/>
        </w:rPr>
        <w:t xml:space="preserve"> policy</w:t>
      </w:r>
      <w:r w:rsidRPr="000B64E3">
        <w:rPr>
          <w:lang w:val="en-US"/>
        </w:rPr>
        <w:t xml:space="preserve"> was kept in the PT governments </w:t>
      </w:r>
      <w:r>
        <w:rPr>
          <w:lang w:val="en-US"/>
        </w:rPr>
        <w:t>as far as it</w:t>
      </w:r>
      <w:r w:rsidRPr="000B64E3">
        <w:rPr>
          <w:lang w:val="en-US"/>
        </w:rPr>
        <w:t xml:space="preserve"> proved </w:t>
      </w:r>
      <w:r>
        <w:rPr>
          <w:lang w:val="en-US"/>
        </w:rPr>
        <w:t xml:space="preserve">itself </w:t>
      </w:r>
      <w:r w:rsidRPr="000B64E3">
        <w:rPr>
          <w:lang w:val="en-US"/>
        </w:rPr>
        <w:t xml:space="preserve">functional </w:t>
      </w:r>
      <w:r>
        <w:rPr>
          <w:lang w:val="en-US"/>
        </w:rPr>
        <w:t xml:space="preserve">to the </w:t>
      </w:r>
      <w:r w:rsidRPr="000B64E3">
        <w:rPr>
          <w:lang w:val="en-US"/>
        </w:rPr>
        <w:t xml:space="preserve">distribution of income </w:t>
      </w:r>
      <w:r>
        <w:rPr>
          <w:lang w:val="en-US"/>
        </w:rPr>
        <w:t>through</w:t>
      </w:r>
      <w:r w:rsidRPr="000B64E3">
        <w:rPr>
          <w:lang w:val="en-US"/>
        </w:rPr>
        <w:t xml:space="preserve"> nominal </w:t>
      </w:r>
      <w:r>
        <w:rPr>
          <w:lang w:val="en-US"/>
        </w:rPr>
        <w:t>readjustments</w:t>
      </w:r>
      <w:r w:rsidRPr="000B64E3">
        <w:rPr>
          <w:lang w:val="en-US"/>
        </w:rPr>
        <w:t xml:space="preserve">. The result of </w:t>
      </w:r>
      <w:r>
        <w:rPr>
          <w:lang w:val="en-US"/>
        </w:rPr>
        <w:t>its</w:t>
      </w:r>
      <w:r w:rsidRPr="000B64E3">
        <w:rPr>
          <w:lang w:val="en-US"/>
        </w:rPr>
        <w:t xml:space="preserve"> </w:t>
      </w:r>
      <w:r>
        <w:rPr>
          <w:lang w:val="en-US"/>
        </w:rPr>
        <w:t>persistence</w:t>
      </w:r>
      <w:r w:rsidRPr="000B64E3">
        <w:rPr>
          <w:lang w:val="en-US"/>
        </w:rPr>
        <w:t>, however, was the growing loss of efficacy of</w:t>
      </w:r>
      <w:r>
        <w:rPr>
          <w:lang w:val="en-US"/>
        </w:rPr>
        <w:t xml:space="preserve"> the</w:t>
      </w:r>
      <w:r w:rsidRPr="000B64E3">
        <w:rPr>
          <w:lang w:val="en-US"/>
        </w:rPr>
        <w:t xml:space="preserve"> industrial policy and</w:t>
      </w:r>
      <w:r>
        <w:rPr>
          <w:lang w:val="en-US"/>
        </w:rPr>
        <w:t xml:space="preserve"> of</w:t>
      </w:r>
      <w:r w:rsidRPr="000B64E3">
        <w:rPr>
          <w:lang w:val="en-US"/>
        </w:rPr>
        <w:t xml:space="preserve"> dynamism and autonomy of the national economy</w:t>
      </w:r>
      <w:r>
        <w:rPr>
          <w:lang w:val="en-US"/>
        </w:rPr>
        <w:t>.</w:t>
      </w:r>
    </w:p>
    <w:p w14:paraId="55B3E00F" w14:textId="77777777" w:rsidR="008C074A" w:rsidRDefault="008C074A" w:rsidP="00ED5EC2">
      <w:pPr>
        <w:spacing w:after="0" w:line="240" w:lineRule="auto"/>
        <w:rPr>
          <w:lang w:val="en-US"/>
        </w:rPr>
      </w:pPr>
    </w:p>
    <w:p w14:paraId="7615AF33" w14:textId="77777777" w:rsidR="00310B39" w:rsidRDefault="00ED5EC2" w:rsidP="00ED5EC2">
      <w:pPr>
        <w:spacing w:after="0" w:line="240" w:lineRule="auto"/>
        <w:rPr>
          <w:lang w:val="en-US"/>
        </w:rPr>
      </w:pPr>
      <w:r>
        <w:rPr>
          <w:lang w:val="en-US"/>
        </w:rPr>
        <w:t xml:space="preserve">JEL: </w:t>
      </w:r>
      <w:r w:rsidR="006A0F51">
        <w:rPr>
          <w:lang w:val="en-US"/>
        </w:rPr>
        <w:t>E58</w:t>
      </w:r>
      <w:r w:rsidR="002C0BE1">
        <w:rPr>
          <w:lang w:val="en-US"/>
        </w:rPr>
        <w:t xml:space="preserve"> </w:t>
      </w:r>
      <w:r w:rsidR="006A0F51" w:rsidRPr="006A0F51">
        <w:rPr>
          <w:lang w:val="en-US"/>
        </w:rPr>
        <w:t>Central Banks and Their Policies</w:t>
      </w:r>
      <w:r w:rsidR="006A0F51">
        <w:rPr>
          <w:lang w:val="en-US"/>
        </w:rPr>
        <w:t xml:space="preserve">; </w:t>
      </w:r>
      <w:r w:rsidR="002C0BE1">
        <w:rPr>
          <w:lang w:val="en-US"/>
        </w:rPr>
        <w:t>E31 Price Level - Inflation –</w:t>
      </w:r>
      <w:r w:rsidR="002C0BE1" w:rsidRPr="002C0BE1">
        <w:rPr>
          <w:lang w:val="en-US"/>
        </w:rPr>
        <w:t xml:space="preserve"> Deflation</w:t>
      </w:r>
      <w:r w:rsidR="002C0BE1">
        <w:rPr>
          <w:lang w:val="en-US"/>
        </w:rPr>
        <w:t xml:space="preserve">; O25 </w:t>
      </w:r>
      <w:r w:rsidR="002C0BE1" w:rsidRPr="002C0BE1">
        <w:rPr>
          <w:lang w:val="en-US"/>
        </w:rPr>
        <w:t>Industrial Policy</w:t>
      </w:r>
      <w:r w:rsidR="002C0BE1">
        <w:rPr>
          <w:lang w:val="en-US"/>
        </w:rPr>
        <w:t>.</w:t>
      </w:r>
    </w:p>
    <w:p w14:paraId="38EF3B41" w14:textId="77777777" w:rsidR="0040162F" w:rsidRPr="00ED5EC2" w:rsidRDefault="0040162F" w:rsidP="00ED5EC2">
      <w:pPr>
        <w:spacing w:after="0" w:line="240" w:lineRule="auto"/>
        <w:rPr>
          <w:lang w:val="en-US"/>
        </w:rPr>
      </w:pPr>
    </w:p>
    <w:p w14:paraId="4CC0ECAD" w14:textId="77777777" w:rsidR="001E37C7" w:rsidRDefault="0050357A" w:rsidP="00310B39">
      <w:r w:rsidRPr="0050357A">
        <w:rPr>
          <w:b/>
        </w:rPr>
        <w:t xml:space="preserve">1. </w:t>
      </w:r>
      <w:r w:rsidR="001E37C7" w:rsidRPr="0050357A">
        <w:rPr>
          <w:b/>
        </w:rPr>
        <w:t xml:space="preserve">Introdução: </w:t>
      </w:r>
      <w:r w:rsidRPr="0050357A">
        <w:rPr>
          <w:b/>
        </w:rPr>
        <w:t xml:space="preserve">uma interpretação </w:t>
      </w:r>
      <w:proofErr w:type="spellStart"/>
      <w:r w:rsidRPr="0050357A">
        <w:rPr>
          <w:b/>
        </w:rPr>
        <w:t>kaleckiana</w:t>
      </w:r>
      <w:proofErr w:type="spellEnd"/>
      <w:r w:rsidR="001E37C7" w:rsidRPr="0050357A">
        <w:rPr>
          <w:b/>
        </w:rPr>
        <w:t xml:space="preserve"> da eficácia do Pla</w:t>
      </w:r>
      <w:r w:rsidRPr="0050357A">
        <w:rPr>
          <w:b/>
        </w:rPr>
        <w:t>no Real</w:t>
      </w:r>
      <w:r>
        <w:t xml:space="preserve"> </w:t>
      </w:r>
    </w:p>
    <w:p w14:paraId="20448E4E" w14:textId="26F85AAF" w:rsidR="003D12E4" w:rsidRDefault="005D670A" w:rsidP="00310B39">
      <w:pPr>
        <w:ind w:firstLine="720"/>
      </w:pPr>
      <w:r>
        <w:t xml:space="preserve">Não parece restar </w:t>
      </w:r>
      <w:r w:rsidR="002B1CA4">
        <w:t xml:space="preserve">espaço para dúvida de que o Plano Real foi </w:t>
      </w:r>
      <w:proofErr w:type="gramStart"/>
      <w:r w:rsidR="002B1CA4">
        <w:t>bem sucedido</w:t>
      </w:r>
      <w:proofErr w:type="gramEnd"/>
      <w:r w:rsidR="00347348">
        <w:t xml:space="preserve"> no que diz respeito </w:t>
      </w:r>
      <w:r w:rsidR="002B1CA4">
        <w:t xml:space="preserve">ao seu objetivo primeiro: o controle inflacionário. É bem verdade que </w:t>
      </w:r>
      <w:r w:rsidR="00431658">
        <w:t xml:space="preserve">de </w:t>
      </w:r>
      <w:r w:rsidR="002B1CA4">
        <w:t>1995 a 2014 a inflação média foi da ordem de 7,2% ao ano e, portanto, superou a referê</w:t>
      </w:r>
      <w:r>
        <w:t>ncia atualmente adotada para o teto da meta</w:t>
      </w:r>
      <w:r w:rsidR="00347348">
        <w:t>:</w:t>
      </w:r>
      <w:r w:rsidR="002B1CA4">
        <w:t xml:space="preserve"> 6,5% ao ano. Mas há outros indícios de sucesso que são tão ou mais vigor</w:t>
      </w:r>
      <w:r w:rsidR="00644CA6">
        <w:t>osos, dentre os quais o fato de que a inflação é cadente ao longo do tempo</w:t>
      </w:r>
      <w:r w:rsidR="001F0579">
        <w:rPr>
          <w:rStyle w:val="Refdenotaderodap"/>
        </w:rPr>
        <w:footnoteReference w:id="2"/>
      </w:r>
      <w:r w:rsidR="001F0579">
        <w:t xml:space="preserve">. De fato, tal como se observa no Quadro 1 reproduzido abaixo, </w:t>
      </w:r>
      <w:r w:rsidR="003D12E4">
        <w:t xml:space="preserve">os únicos períodos em que o IPCA total </w:t>
      </w:r>
      <w:r w:rsidR="003D12E4">
        <w:lastRenderedPageBreak/>
        <w:t>supera os dois dígitos são</w:t>
      </w:r>
      <w:r w:rsidR="00466929">
        <w:t xml:space="preserve">:  1) o segundo semestre de 1994, </w:t>
      </w:r>
      <w:r w:rsidR="003D12E4">
        <w:t xml:space="preserve">ao </w:t>
      </w:r>
      <w:r w:rsidR="00466929">
        <w:t xml:space="preserve">final do Governo Itamar; 2) </w:t>
      </w:r>
      <w:r w:rsidR="005924AB">
        <w:t>o ano de</w:t>
      </w:r>
      <w:r w:rsidR="00466929">
        <w:t xml:space="preserve"> 1995, </w:t>
      </w:r>
      <w:r w:rsidR="005924AB">
        <w:t xml:space="preserve">o primeiro </w:t>
      </w:r>
      <w:r w:rsidR="00466929">
        <w:t xml:space="preserve">do </w:t>
      </w:r>
      <w:r w:rsidR="003D12E4">
        <w:t xml:space="preserve">mandato </w:t>
      </w:r>
      <w:r w:rsidR="00466929">
        <w:t xml:space="preserve">inaugural de </w:t>
      </w:r>
      <w:r w:rsidR="00A55AA9">
        <w:t>FHC</w:t>
      </w:r>
      <w:r w:rsidR="00466929">
        <w:t xml:space="preserve">; </w:t>
      </w:r>
      <w:r w:rsidR="003D12E4">
        <w:t xml:space="preserve"> e</w:t>
      </w:r>
      <w:r w:rsidR="00466929">
        <w:t xml:space="preserve"> 3) o ano de</w:t>
      </w:r>
      <w:r w:rsidR="003D12E4">
        <w:t xml:space="preserve"> 2002</w:t>
      </w:r>
      <w:r w:rsidR="00466929">
        <w:t xml:space="preserve">, o último do segundo mandato de </w:t>
      </w:r>
      <w:r w:rsidR="00A55AA9">
        <w:t>FHC</w:t>
      </w:r>
      <w:r w:rsidR="003D12E4">
        <w:t xml:space="preserve">. </w:t>
      </w:r>
      <w:r w:rsidR="00302A34">
        <w:t xml:space="preserve">Até 2014, em </w:t>
      </w:r>
      <w:r w:rsidR="00466929">
        <w:t>nenhum dos governos petistas a inflação ating</w:t>
      </w:r>
      <w:r w:rsidR="00302A34">
        <w:t>iu</w:t>
      </w:r>
      <w:r w:rsidR="00466929">
        <w:t xml:space="preserve"> os dois dígitos</w:t>
      </w:r>
      <w:r w:rsidR="00347348">
        <w:t>;</w:t>
      </w:r>
      <w:r w:rsidR="00466929">
        <w:t xml:space="preserve"> e superada a inércia inflacionária de 2002 os anos subsequentes </w:t>
      </w:r>
      <w:r w:rsidR="00347348">
        <w:t xml:space="preserve">a 2004 </w:t>
      </w:r>
      <w:r w:rsidR="00466929">
        <w:t xml:space="preserve">são de estrito cumprimento do </w:t>
      </w:r>
      <w:r w:rsidR="001D16AA">
        <w:t xml:space="preserve">atual </w:t>
      </w:r>
      <w:r w:rsidR="00466929">
        <w:t xml:space="preserve">teto da meta de 6,5% </w:t>
      </w:r>
      <w:proofErr w:type="gramStart"/>
      <w:r w:rsidR="00466929">
        <w:t>a.a.</w:t>
      </w:r>
      <w:r w:rsidR="00F264A3">
        <w:t>.</w:t>
      </w:r>
      <w:proofErr w:type="gramEnd"/>
      <w:r w:rsidR="00F264A3">
        <w:t xml:space="preserve"> </w:t>
      </w:r>
    </w:p>
    <w:p w14:paraId="0113F791" w14:textId="39582B1D" w:rsidR="003D12E4" w:rsidRDefault="000D1E82" w:rsidP="00310B39">
      <w:pPr>
        <w:ind w:firstLine="720"/>
      </w:pPr>
      <w:r>
        <w:t>Tamanho sucesso parece r</w:t>
      </w:r>
      <w:r w:rsidR="00A33779">
        <w:t xml:space="preserve">eferendar as políticas monetária ortodoxa </w:t>
      </w:r>
      <w:r w:rsidR="00234D19">
        <w:t>(</w:t>
      </w:r>
      <w:r w:rsidR="00A33779">
        <w:t xml:space="preserve">em </w:t>
      </w:r>
      <w:r w:rsidR="00481683">
        <w:t>curs</w:t>
      </w:r>
      <w:r w:rsidR="00A33779">
        <w:t>o ao longo de todo o período</w:t>
      </w:r>
      <w:r w:rsidR="00234D19">
        <w:t>)</w:t>
      </w:r>
      <w:r w:rsidR="00A33779">
        <w:t xml:space="preserve"> e fiscal adstringente e comprometida com</w:t>
      </w:r>
      <w:r w:rsidR="0073019B">
        <w:t xml:space="preserve"> </w:t>
      </w:r>
      <w:r w:rsidR="00A33779">
        <w:t>o superávit pri</w:t>
      </w:r>
      <w:r w:rsidR="00234D19">
        <w:t>mário e com</w:t>
      </w:r>
      <w:r w:rsidR="00A33779">
        <w:t xml:space="preserve"> a depressão da </w:t>
      </w:r>
      <w:r w:rsidR="00234D19">
        <w:t>relação Dívida/</w:t>
      </w:r>
      <w:proofErr w:type="gramStart"/>
      <w:r w:rsidR="00234D19">
        <w:t xml:space="preserve">PIB </w:t>
      </w:r>
      <w:r w:rsidR="00481683">
        <w:t xml:space="preserve"> Só</w:t>
      </w:r>
      <w:proofErr w:type="gramEnd"/>
      <w:r w:rsidR="00481683">
        <w:t xml:space="preserve"> que </w:t>
      </w:r>
      <w:r w:rsidR="00302A34">
        <w:t xml:space="preserve">referendam </w:t>
      </w:r>
      <w:r w:rsidR="00481683">
        <w:t>dialeticamente, contraditoriamente. E isto na me</w:t>
      </w:r>
      <w:r w:rsidR="00BC292E">
        <w:t>dida em que estas políticas são de fato</w:t>
      </w:r>
      <w:r w:rsidR="00481683">
        <w:t xml:space="preserve"> </w:t>
      </w:r>
      <w:r w:rsidR="003650A0">
        <w:t>eficazes</w:t>
      </w:r>
      <w:r w:rsidR="00481683">
        <w:t>. Mas por motivos muito distintos daqueles pe</w:t>
      </w:r>
      <w:r w:rsidR="003650A0">
        <w:t xml:space="preserve">los quais elas pretenderiam sê-lo. E é só quando se entende esta discrepância é que podemos começar a entender </w:t>
      </w:r>
      <w:r w:rsidR="00481683">
        <w:t xml:space="preserve">o </w:t>
      </w:r>
      <w:r w:rsidR="003650A0">
        <w:t xml:space="preserve">verdadeiro </w:t>
      </w:r>
      <w:r w:rsidR="00481683">
        <w:t xml:space="preserve">significado da retomada da política fiscal conservadora no início do segundo mandato da </w:t>
      </w:r>
      <w:r w:rsidR="000E75C7">
        <w:t>Presidente</w:t>
      </w:r>
      <w:r w:rsidR="00481683">
        <w:t xml:space="preserve"> Dilma Rousseff.</w:t>
      </w:r>
      <w:r w:rsidR="003650A0">
        <w:t xml:space="preserve"> Antes de ingressar neste tema crucial (e de alta complexidade política) precisamos analisar a evolução da inflação ao longo do Real tal como el</w:t>
      </w:r>
      <w:r w:rsidR="00543B80">
        <w:t>a</w:t>
      </w:r>
      <w:r w:rsidR="003650A0">
        <w:t xml:space="preserve"> se apresenta no Quadro 1. </w:t>
      </w:r>
    </w:p>
    <w:p w14:paraId="760D361C" w14:textId="067ABEDF" w:rsidR="003650A0" w:rsidRPr="00F03779" w:rsidRDefault="00F03779" w:rsidP="00F03779">
      <w:pPr>
        <w:ind w:firstLine="720"/>
      </w:pPr>
      <w:r>
        <w:t xml:space="preserve">O primeiro a entender no Quadro 1 abaixo é que o índice básico de inflação (IPCA, doravante IPCA Total) foi subdividido em outros três: IPCA </w:t>
      </w:r>
      <w:proofErr w:type="spellStart"/>
      <w:r w:rsidRPr="00BC292E">
        <w:rPr>
          <w:i/>
        </w:rPr>
        <w:t>Tradable</w:t>
      </w:r>
      <w:proofErr w:type="spellEnd"/>
      <w:r>
        <w:t>, IPCA Não-</w:t>
      </w:r>
      <w:proofErr w:type="spellStart"/>
      <w:r w:rsidRPr="00BC292E">
        <w:rPr>
          <w:i/>
        </w:rPr>
        <w:t>Tradable</w:t>
      </w:r>
      <w:proofErr w:type="spellEnd"/>
      <w:r>
        <w:t xml:space="preserve"> e IPCA Monitorado. Esta subdivisão foi introduzida pelo Banco Central (vide referência abaixo do Quadro 1</w:t>
      </w:r>
      <w:r w:rsidR="00DE4174">
        <w:t>)</w:t>
      </w:r>
      <w:r>
        <w:t xml:space="preserve">, mas é muito reveladora e amplamente difundida e aceita no meio acadêmico. </w:t>
      </w:r>
      <w:r w:rsidRPr="003B4C3C">
        <w:rPr>
          <w:b/>
        </w:rPr>
        <w:t>Antes de mais nada porque ela revela a profunda alteração dos preços relativos imposta pelo Plano Real.</w:t>
      </w:r>
      <w:r>
        <w:t xml:space="preserve"> Tomando apenas os anos “cheios” (entre 1995 e 2014), a inflação acumulada medida pelo IPCA</w:t>
      </w:r>
      <w:r w:rsidR="00302A34">
        <w:t xml:space="preserve"> Total</w:t>
      </w:r>
      <w:r>
        <w:t xml:space="preserve"> foi de 299,4%</w:t>
      </w:r>
      <w:r>
        <w:rPr>
          <w:rStyle w:val="Refdenotaderodap"/>
        </w:rPr>
        <w:footnoteReference w:id="3"/>
      </w:r>
      <w:r>
        <w:t xml:space="preserve">. Não obstante, a inflação acumulada em </w:t>
      </w:r>
      <w:proofErr w:type="spellStart"/>
      <w:r w:rsidRPr="0044254F">
        <w:rPr>
          <w:i/>
        </w:rPr>
        <w:t>tradables</w:t>
      </w:r>
      <w:proofErr w:type="spellEnd"/>
      <w:r>
        <w:rPr>
          <w:rStyle w:val="Refdenotaderodap"/>
        </w:rPr>
        <w:footnoteReference w:id="4"/>
      </w:r>
      <w:r>
        <w:t xml:space="preserve"> no mesmo período foi </w:t>
      </w:r>
      <w:r w:rsidR="00302A34">
        <w:t xml:space="preserve">menor; </w:t>
      </w:r>
      <w:r>
        <w:t xml:space="preserve">apenas 2/3 deste valor: 198,7%. No outro extremo, a inflação em bens e serviços monitorados foi 1,7 vezes maior do que a inflação média e 2,6 vezes maior do que a inflação em </w:t>
      </w:r>
      <w:proofErr w:type="spellStart"/>
      <w:r w:rsidRPr="00E03B1D">
        <w:rPr>
          <w:i/>
        </w:rPr>
        <w:t>tradables</w:t>
      </w:r>
      <w:proofErr w:type="spellEnd"/>
      <w:r>
        <w:t xml:space="preserve">, atingindo estonteantes 521,2% em 20 anos. No meio do caminho </w:t>
      </w:r>
      <w:r>
        <w:lastRenderedPageBreak/>
        <w:t>e muito próxima da inflação média ficou a inflação em não-</w:t>
      </w:r>
      <w:proofErr w:type="spellStart"/>
      <w:r w:rsidRPr="0044254F">
        <w:rPr>
          <w:i/>
        </w:rPr>
        <w:t>tradables</w:t>
      </w:r>
      <w:proofErr w:type="spellEnd"/>
      <w:r>
        <w:t xml:space="preserve">: 337,7%, o que equivale a 1,13 vezes o IPCA médio e 1,7 vezes o IPCA </w:t>
      </w:r>
      <w:proofErr w:type="spellStart"/>
      <w:r w:rsidRPr="00E03B1D">
        <w:rPr>
          <w:i/>
        </w:rPr>
        <w:t>tradable</w:t>
      </w:r>
      <w:proofErr w:type="spellEnd"/>
      <w:r>
        <w:t>.</w:t>
      </w:r>
    </w:p>
    <w:p w14:paraId="73E1D877" w14:textId="77777777" w:rsidR="005A554D" w:rsidRDefault="005A554D" w:rsidP="0040162F">
      <w:pPr>
        <w:spacing w:after="0" w:line="240" w:lineRule="auto"/>
        <w:jc w:val="center"/>
        <w:rPr>
          <w:rFonts w:cs="Times New Roman"/>
          <w:b/>
        </w:rPr>
      </w:pPr>
      <w:r>
        <w:rPr>
          <w:rFonts w:cs="Times New Roman"/>
          <w:b/>
        </w:rPr>
        <w:t>QUADRO 1</w:t>
      </w:r>
    </w:p>
    <w:p w14:paraId="3A3A4232" w14:textId="77777777" w:rsidR="003650A0" w:rsidRPr="00372386" w:rsidRDefault="003650A0" w:rsidP="0040162F">
      <w:pPr>
        <w:spacing w:after="0" w:line="240" w:lineRule="auto"/>
        <w:jc w:val="center"/>
        <w:rPr>
          <w:rFonts w:cs="Times New Roman"/>
          <w:b/>
        </w:rPr>
      </w:pPr>
      <w:proofErr w:type="spellStart"/>
      <w:r w:rsidRPr="00372386">
        <w:rPr>
          <w:rFonts w:cs="Times New Roman"/>
          <w:b/>
        </w:rPr>
        <w:t>IPCAs</w:t>
      </w:r>
      <w:proofErr w:type="spellEnd"/>
      <w:r w:rsidRPr="00372386">
        <w:rPr>
          <w:rFonts w:cs="Times New Roman"/>
          <w:b/>
        </w:rPr>
        <w:t xml:space="preserve"> Anuais e Acumulados Totais e de Bens e Serviços </w:t>
      </w:r>
      <w:proofErr w:type="spellStart"/>
      <w:r w:rsidRPr="00152C99">
        <w:rPr>
          <w:rFonts w:cs="Times New Roman"/>
          <w:b/>
          <w:i/>
        </w:rPr>
        <w:t>Tradables</w:t>
      </w:r>
      <w:proofErr w:type="spellEnd"/>
      <w:r w:rsidRPr="00372386">
        <w:rPr>
          <w:rFonts w:cs="Times New Roman"/>
          <w:b/>
        </w:rPr>
        <w:t xml:space="preserve">, </w:t>
      </w:r>
    </w:p>
    <w:p w14:paraId="680A4078" w14:textId="77777777" w:rsidR="003D12E4" w:rsidRPr="005A554D" w:rsidRDefault="003650A0" w:rsidP="0040162F">
      <w:pPr>
        <w:spacing w:after="0" w:line="240" w:lineRule="auto"/>
        <w:jc w:val="center"/>
        <w:rPr>
          <w:rFonts w:cs="Times New Roman"/>
          <w:b/>
        </w:rPr>
      </w:pPr>
      <w:r w:rsidRPr="00372386">
        <w:rPr>
          <w:rFonts w:cs="Times New Roman"/>
          <w:b/>
        </w:rPr>
        <w:t>Não</w:t>
      </w:r>
      <w:r w:rsidR="0073019B">
        <w:rPr>
          <w:rFonts w:cs="Times New Roman"/>
          <w:b/>
        </w:rPr>
        <w:t>-</w:t>
      </w:r>
      <w:proofErr w:type="spellStart"/>
      <w:r w:rsidRPr="00152C99">
        <w:rPr>
          <w:rFonts w:cs="Times New Roman"/>
          <w:b/>
          <w:i/>
        </w:rPr>
        <w:t>Tradables</w:t>
      </w:r>
      <w:proofErr w:type="spellEnd"/>
      <w:r w:rsidRPr="00372386">
        <w:rPr>
          <w:rFonts w:cs="Times New Roman"/>
          <w:b/>
        </w:rPr>
        <w:t xml:space="preserve"> e Monitorados ao longo dos 20</w:t>
      </w:r>
      <w:r w:rsidRPr="00372386">
        <w:rPr>
          <w:rFonts w:cs="Times New Roman"/>
          <w:b/>
          <w:vertAlign w:val="superscript"/>
        </w:rPr>
        <w:t xml:space="preserve"> </w:t>
      </w:r>
      <w:r w:rsidRPr="00372386">
        <w:rPr>
          <w:rFonts w:cs="Times New Roman"/>
          <w:b/>
        </w:rPr>
        <w:t>anos (e meio) de Plano Real</w:t>
      </w:r>
      <w:r w:rsidRPr="00372386">
        <w:rPr>
          <w:rStyle w:val="Refdenotaderodap"/>
          <w:rFonts w:cs="Times New Roman"/>
          <w:b/>
        </w:rPr>
        <w:footnoteReference w:id="5"/>
      </w:r>
    </w:p>
    <w:p w14:paraId="6C58204C" w14:textId="77777777" w:rsidR="003D12E4" w:rsidRDefault="003D12E4" w:rsidP="002C0BE1">
      <w:pPr>
        <w:spacing w:after="0" w:line="240" w:lineRule="auto"/>
      </w:pPr>
      <w:r w:rsidRPr="00206C61">
        <w:rPr>
          <w:noProof/>
          <w:lang w:eastAsia="pt-BR"/>
        </w:rPr>
        <w:drawing>
          <wp:inline distT="0" distB="0" distL="0" distR="0" wp14:anchorId="3D1D9E04" wp14:editId="3443DFD0">
            <wp:extent cx="5270500" cy="3798656"/>
            <wp:effectExtent l="0" t="0" r="0" b="1143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0500" cy="3798656"/>
                    </a:xfrm>
                    <a:prstGeom prst="rect">
                      <a:avLst/>
                    </a:prstGeom>
                    <a:noFill/>
                    <a:ln>
                      <a:noFill/>
                    </a:ln>
                  </pic:spPr>
                </pic:pic>
              </a:graphicData>
            </a:graphic>
          </wp:inline>
        </w:drawing>
      </w:r>
    </w:p>
    <w:p w14:paraId="0BDBE23F" w14:textId="77777777" w:rsidR="003B4C3C" w:rsidRPr="00F03779" w:rsidRDefault="003650A0" w:rsidP="002C0BE1">
      <w:pPr>
        <w:spacing w:after="0" w:line="240" w:lineRule="auto"/>
        <w:jc w:val="center"/>
        <w:rPr>
          <w:rFonts w:cs="Times New Roman"/>
          <w:sz w:val="22"/>
        </w:rPr>
      </w:pPr>
      <w:r w:rsidRPr="002C0BE1">
        <w:rPr>
          <w:rFonts w:cs="Times New Roman"/>
          <w:sz w:val="20"/>
          <w:szCs w:val="20"/>
        </w:rPr>
        <w:t>Fonte dos Dados Brutos: Bacen (</w:t>
      </w:r>
      <w:hyperlink r:id="rId8" w:history="1">
        <w:r w:rsidR="005A554D" w:rsidRPr="002C0BE1">
          <w:rPr>
            <w:rStyle w:val="Hyperlink"/>
            <w:rFonts w:cs="Times New Roman"/>
            <w:sz w:val="20"/>
            <w:szCs w:val="20"/>
          </w:rPr>
          <w:t>https://www3.bcb.gov.br/sgspub/localizarseries/localizarSeries.do?method=prepararTelaLocalizarSeries</w:t>
        </w:r>
      </w:hyperlink>
      <w:r w:rsidRPr="000F2459">
        <w:rPr>
          <w:rFonts w:cs="Times New Roman"/>
          <w:sz w:val="22"/>
        </w:rPr>
        <w:t>)</w:t>
      </w:r>
      <w:r w:rsidR="003B4C3C">
        <w:t xml:space="preserve"> </w:t>
      </w:r>
    </w:p>
    <w:p w14:paraId="0D834E40" w14:textId="77777777" w:rsidR="002C0BE1" w:rsidRDefault="0044254F" w:rsidP="00310B39">
      <w:r>
        <w:t xml:space="preserve"> </w:t>
      </w:r>
      <w:r w:rsidR="003B4C3C">
        <w:tab/>
      </w:r>
    </w:p>
    <w:p w14:paraId="015DAC0B" w14:textId="4986A641" w:rsidR="00A25AFE" w:rsidRPr="007D082E" w:rsidRDefault="003B4C3C" w:rsidP="002C0BE1">
      <w:pPr>
        <w:ind w:firstLine="720"/>
        <w:rPr>
          <w:b/>
        </w:rPr>
      </w:pPr>
      <w:r>
        <w:t xml:space="preserve">Ora, esta profunda alteração dos preços relativos </w:t>
      </w:r>
      <w:r w:rsidR="002516A8">
        <w:t xml:space="preserve">da economia brasileira entre </w:t>
      </w:r>
      <w:proofErr w:type="spellStart"/>
      <w:r w:rsidR="002516A8" w:rsidRPr="00E03B1D">
        <w:rPr>
          <w:i/>
        </w:rPr>
        <w:t>tradables</w:t>
      </w:r>
      <w:proofErr w:type="spellEnd"/>
      <w:r w:rsidR="002516A8">
        <w:t>, não-</w:t>
      </w:r>
      <w:proofErr w:type="spellStart"/>
      <w:r w:rsidR="002516A8" w:rsidRPr="00E03B1D">
        <w:rPr>
          <w:i/>
        </w:rPr>
        <w:t>tradables</w:t>
      </w:r>
      <w:proofErr w:type="spellEnd"/>
      <w:r w:rsidR="002516A8">
        <w:t xml:space="preserve"> e monitorados </w:t>
      </w:r>
      <w:r>
        <w:t xml:space="preserve">é particularmente reveladora </w:t>
      </w:r>
      <w:r w:rsidR="002516A8">
        <w:t xml:space="preserve">da unidade interna do Plano Real ao longo das duas décadas de vigência. </w:t>
      </w:r>
      <w:r w:rsidR="00B50963" w:rsidRPr="009360C7">
        <w:rPr>
          <w:b/>
        </w:rPr>
        <w:t xml:space="preserve">Sua essência é </w:t>
      </w:r>
      <w:r w:rsidR="00D43043">
        <w:rPr>
          <w:b/>
        </w:rPr>
        <w:t xml:space="preserve">a </w:t>
      </w:r>
      <w:r w:rsidR="00B50963" w:rsidRPr="009360C7">
        <w:rPr>
          <w:b/>
        </w:rPr>
        <w:t>âncora cambial</w:t>
      </w:r>
      <w:r w:rsidR="008C2763" w:rsidRPr="009360C7">
        <w:rPr>
          <w:b/>
        </w:rPr>
        <w:t>, articulada pelo Banco Central a partir de uma política monetária adstringente e voltada à sustentação de um real cronicamente sobrevalorizado.</w:t>
      </w:r>
      <w:r w:rsidR="008C2763">
        <w:t xml:space="preserve"> Nos períodos de crise de confiança, quando o real se desvaloriza frente </w:t>
      </w:r>
      <w:r w:rsidR="001F128D">
        <w:t>a</w:t>
      </w:r>
      <w:r w:rsidR="008C2763">
        <w:t xml:space="preserve">o dólar independentemente da política monetária </w:t>
      </w:r>
      <w:r w:rsidR="009360C7">
        <w:t xml:space="preserve">nacional, </w:t>
      </w:r>
      <w:r w:rsidR="008C2763">
        <w:t xml:space="preserve">os juros são elevados ainda mais com vistas a conter a demanda </w:t>
      </w:r>
      <w:r w:rsidR="009360C7">
        <w:t xml:space="preserve">interna </w:t>
      </w:r>
      <w:r w:rsidR="006237B8">
        <w:t>e deprimir os estoques. Nestas</w:t>
      </w:r>
      <w:r w:rsidR="008C2763">
        <w:t xml:space="preserve"> c</w:t>
      </w:r>
      <w:r w:rsidR="006237B8">
        <w:t>ircunstâncias, busca-se o apoio do Ministério da</w:t>
      </w:r>
      <w:r w:rsidR="009360C7">
        <w:t xml:space="preserve"> Fazenda</w:t>
      </w:r>
      <w:r w:rsidR="008C2763">
        <w:t xml:space="preserve"> para a adoção de uma política fiscal ortodoxa, que contribua para o combate da inflação através da depressão da demanda e da </w:t>
      </w:r>
      <w:r w:rsidR="008C2763">
        <w:lastRenderedPageBreak/>
        <w:t>indução do desemprego.</w:t>
      </w:r>
      <w:r w:rsidR="006237B8">
        <w:t xml:space="preserve"> </w:t>
      </w:r>
      <w:r w:rsidR="006237B8" w:rsidRPr="007D082E">
        <w:rPr>
          <w:b/>
        </w:rPr>
        <w:t>Busca-se, então, substituir a âncora externa (o câmbio) pela âncora interna (o salário) com vistas a controlar os preços. Mas, excetuados os períodos de ataque especulativo, é a âncora cambial – monitorada pelo Bacen,</w:t>
      </w:r>
      <w:r w:rsidR="006237B8">
        <w:t xml:space="preserve"> </w:t>
      </w:r>
      <w:r w:rsidR="006237B8" w:rsidRPr="007D082E">
        <w:rPr>
          <w:b/>
        </w:rPr>
        <w:t>via política monetária</w:t>
      </w:r>
      <w:r w:rsidR="00252B64" w:rsidRPr="007D082E">
        <w:rPr>
          <w:rStyle w:val="Refdenotaderodap"/>
          <w:b/>
        </w:rPr>
        <w:footnoteReference w:id="6"/>
      </w:r>
      <w:r w:rsidR="006237B8" w:rsidRPr="007D082E">
        <w:rPr>
          <w:b/>
        </w:rPr>
        <w:t xml:space="preserve"> – que garante a eficácia do controle inflacionário. </w:t>
      </w:r>
      <w:r w:rsidR="00A25AFE" w:rsidRPr="007D082E">
        <w:rPr>
          <w:b/>
        </w:rPr>
        <w:t xml:space="preserve">Nelson Barbosa traduz esta dinâmica nos seguintes termos: </w:t>
      </w:r>
    </w:p>
    <w:p w14:paraId="019DDDB8" w14:textId="3D675B80" w:rsidR="00A25AFE" w:rsidRDefault="00A25AFE" w:rsidP="0077738B">
      <w:pPr>
        <w:spacing w:line="240" w:lineRule="auto"/>
        <w:ind w:left="720"/>
      </w:pPr>
      <w:r>
        <w:t>“A forte influência da taxa de câmbio sobre a inflação brasileira acabou gerando um padrão recorrente de atuação por parte do [Bacen], no qual a autoridade monetária tende a tolerar uma apreciação, mas a lutar contra uma depreciação do [real].  O resultado deste viés de política monetária é uma tendência recorrente de apreciação cambial, isto é, uma sucessão de miniciclos de apreciação gradual e depreciação súbita do [real], em torno da tendência de longo prazo da taxa de câmbio real determinada pelas condições financeiras internacionais.</w:t>
      </w:r>
      <w:r w:rsidR="000463DE">
        <w:t xml:space="preserve"> </w:t>
      </w:r>
      <w:r w:rsidR="004B03AA">
        <w:t>(</w:t>
      </w:r>
      <w:r w:rsidR="004B03AA" w:rsidRPr="004B03AA">
        <w:t>Barbosa</w:t>
      </w:r>
      <w:r w:rsidR="004B03AA">
        <w:t>,</w:t>
      </w:r>
      <w:r w:rsidR="004B03AA" w:rsidRPr="004B03AA">
        <w:t xml:space="preserve"> 2</w:t>
      </w:r>
      <w:r w:rsidR="004B03AA">
        <w:t>015, p. 409)</w:t>
      </w:r>
    </w:p>
    <w:p w14:paraId="204F8668" w14:textId="6C802246" w:rsidR="005A554D" w:rsidRDefault="004B03AA" w:rsidP="00310B39">
      <w:pPr>
        <w:ind w:firstLine="720"/>
      </w:pPr>
      <w:r>
        <w:t xml:space="preserve">E os </w:t>
      </w:r>
      <w:r w:rsidR="006237B8">
        <w:t>desdob</w:t>
      </w:r>
      <w:r>
        <w:t>ramentos desta tendência à sobrevalorização crônica do real</w:t>
      </w:r>
      <w:r w:rsidR="00D375EF">
        <w:t xml:space="preserve"> foram, até 2014</w:t>
      </w:r>
      <w:r w:rsidR="006237B8">
        <w:t>: 1) a alteração dos preços rel</w:t>
      </w:r>
      <w:r w:rsidR="00D375EF">
        <w:t>ativos da economia, com a depressão da rentabilidade do</w:t>
      </w:r>
      <w:r w:rsidR="008A66EA">
        <w:t>s</w:t>
      </w:r>
      <w:r w:rsidR="00D375EF">
        <w:t xml:space="preserve"> setor</w:t>
      </w:r>
      <w:r w:rsidR="008A66EA">
        <w:t>es</w:t>
      </w:r>
      <w:r w:rsidR="00D375EF">
        <w:t xml:space="preserve"> </w:t>
      </w:r>
      <w:proofErr w:type="spellStart"/>
      <w:r w:rsidR="00D375EF" w:rsidRPr="00D375EF">
        <w:rPr>
          <w:i/>
        </w:rPr>
        <w:t>tradable</w:t>
      </w:r>
      <w:r w:rsidR="008A66EA">
        <w:rPr>
          <w:i/>
        </w:rPr>
        <w:t>s</w:t>
      </w:r>
      <w:proofErr w:type="spellEnd"/>
      <w:r w:rsidR="008A66EA">
        <w:rPr>
          <w:b/>
        </w:rPr>
        <w:t xml:space="preserve"> vis-à-vis os não </w:t>
      </w:r>
      <w:proofErr w:type="spellStart"/>
      <w:r w:rsidR="008A66EA">
        <w:rPr>
          <w:b/>
        </w:rPr>
        <w:t>tradables</w:t>
      </w:r>
      <w:proofErr w:type="spellEnd"/>
      <w:r w:rsidR="00D375EF">
        <w:t xml:space="preserve">; </w:t>
      </w:r>
      <w:r>
        <w:t xml:space="preserve">e </w:t>
      </w:r>
      <w:r w:rsidR="00D375EF">
        <w:t xml:space="preserve">2) a elevação do </w:t>
      </w:r>
      <w:r w:rsidR="00056A7A">
        <w:rPr>
          <w:b/>
        </w:rPr>
        <w:t>rendimento</w:t>
      </w:r>
      <w:r w:rsidR="00D375EF" w:rsidRPr="004B03AA">
        <w:rPr>
          <w:b/>
        </w:rPr>
        <w:t xml:space="preserve"> real dos trabalhadores</w:t>
      </w:r>
      <w:r w:rsidR="00D375EF">
        <w:t>, beneficiados</w:t>
      </w:r>
      <w:r>
        <w:t>, de um lado</w:t>
      </w:r>
      <w:r w:rsidR="00E96D7D">
        <w:t>,</w:t>
      </w:r>
      <w:r w:rsidR="00D375EF">
        <w:t xml:space="preserve"> com a </w:t>
      </w:r>
      <w:r>
        <w:t xml:space="preserve">depressão dos preços dos bens importados </w:t>
      </w:r>
      <w:r w:rsidR="00056A7A">
        <w:t>e, de outro, c</w:t>
      </w:r>
      <w:r w:rsidR="00D375EF">
        <w:t xml:space="preserve">om </w:t>
      </w:r>
      <w:r>
        <w:t xml:space="preserve">a emergência de </w:t>
      </w:r>
      <w:r w:rsidR="00056A7A">
        <w:t xml:space="preserve">novas </w:t>
      </w:r>
      <w:r>
        <w:t xml:space="preserve">oportunidades de trabalho </w:t>
      </w:r>
      <w:r w:rsidR="00056A7A">
        <w:t xml:space="preserve">nos setores livres da concorrência dos importados, os setores </w:t>
      </w:r>
      <w:r w:rsidR="00D375EF">
        <w:t>não-</w:t>
      </w:r>
      <w:proofErr w:type="spellStart"/>
      <w:r w:rsidR="00D375EF" w:rsidRPr="00D375EF">
        <w:rPr>
          <w:i/>
        </w:rPr>
        <w:t>tradables</w:t>
      </w:r>
      <w:proofErr w:type="spellEnd"/>
      <w:r w:rsidR="00056A7A">
        <w:t xml:space="preserve"> (</w:t>
      </w:r>
      <w:r>
        <w:t xml:space="preserve">inclusive </w:t>
      </w:r>
      <w:r w:rsidR="00056A7A">
        <w:t>como informais, conta-própria,</w:t>
      </w:r>
      <w:r>
        <w:t xml:space="preserve"> </w:t>
      </w:r>
      <w:r w:rsidR="00056A7A">
        <w:t>microempresários ou microempreendedores) e os setores monitorados</w:t>
      </w:r>
      <w:r w:rsidR="008A66EA">
        <w:t xml:space="preserve">; e 3) </w:t>
      </w:r>
      <w:r w:rsidR="00052940">
        <w:t xml:space="preserve"> especialização produtiva e comercial crescente em serviços (não-</w:t>
      </w:r>
      <w:proofErr w:type="spellStart"/>
      <w:r w:rsidR="00052940">
        <w:t>tradables</w:t>
      </w:r>
      <w:proofErr w:type="spellEnd"/>
      <w:r w:rsidR="00052940">
        <w:t xml:space="preserve">) e naquelas atividades </w:t>
      </w:r>
      <w:proofErr w:type="spellStart"/>
      <w:r w:rsidR="00052940">
        <w:t>tradables</w:t>
      </w:r>
      <w:proofErr w:type="spellEnd"/>
      <w:r w:rsidR="00052940">
        <w:t xml:space="preserve">  nas quais o Brasil apresenta vantagens competitivas estruturais - agropecuária e mineração – em detrimento da indústria. Em suma: o resultado de longo prazo foi a desindustrialização, com expansão relativa do setor de serviços no PIB e participação crescente das matérias primas e semimanufaturados na pauta de exportação.</w:t>
      </w:r>
    </w:p>
    <w:p w14:paraId="25E4095A" w14:textId="77777777" w:rsidR="00E25E70" w:rsidRDefault="00931A41" w:rsidP="00310B39">
      <w:r>
        <w:tab/>
        <w:t xml:space="preserve">Podemos traduzir os eventos narrados acima em termos </w:t>
      </w:r>
      <w:proofErr w:type="spellStart"/>
      <w:r>
        <w:t>kaleckianos</w:t>
      </w:r>
      <w:proofErr w:type="spellEnd"/>
      <w:r>
        <w:t xml:space="preserve"> resgatando sua equação básica de formação de preços, onde os mesmos resultam da aplicação de um mark-up (1+</w:t>
      </w:r>
      <w:r w:rsidRPr="00931A41">
        <w:rPr>
          <w:rFonts w:cs="Times New Roman"/>
        </w:rPr>
        <w:t xml:space="preserve"> </w:t>
      </w:r>
      <w:r>
        <w:rPr>
          <w:rFonts w:cs="Times New Roman"/>
        </w:rPr>
        <w:t>π</w:t>
      </w:r>
      <w:r>
        <w:t xml:space="preserve">) aos custos diretos unitários (total de dispêndios em salários e matérias-primas divididos pela quantidade produzida). </w:t>
      </w:r>
    </w:p>
    <w:p w14:paraId="38478A6A" w14:textId="77777777" w:rsidR="00E25E70" w:rsidRDefault="00931A41" w:rsidP="00310B39">
      <w:pPr>
        <w:jc w:val="center"/>
      </w:pPr>
      <w:r>
        <w:lastRenderedPageBreak/>
        <w:t xml:space="preserve">(1) </w:t>
      </w:r>
      <w:r w:rsidR="00E25E70">
        <w:t xml:space="preserve">P = (1 + </w:t>
      </w:r>
      <w:r w:rsidR="00E25E70">
        <w:rPr>
          <w:rFonts w:cs="Times New Roman"/>
        </w:rPr>
        <w:t>π</w:t>
      </w:r>
      <w:r w:rsidR="00E25E70">
        <w:t>) x (Sal + MP) / q</w:t>
      </w:r>
    </w:p>
    <w:p w14:paraId="2B95D5FE" w14:textId="6588FF1D" w:rsidR="00E25E70" w:rsidRDefault="00931A41" w:rsidP="00310B39">
      <w:r>
        <w:tab/>
        <w:t>Or</w:t>
      </w:r>
      <w:r w:rsidR="00C74C2F">
        <w:t>a, sempre que o Bacen valoriza</w:t>
      </w:r>
      <w:r>
        <w:t xml:space="preserve"> </w:t>
      </w:r>
      <w:r w:rsidR="001A4EC1">
        <w:t xml:space="preserve">significativamente </w:t>
      </w:r>
      <w:r>
        <w:t xml:space="preserve">o real para combater a inflação, os setores produtores de bens </w:t>
      </w:r>
      <w:proofErr w:type="spellStart"/>
      <w:r w:rsidRPr="00931A41">
        <w:rPr>
          <w:i/>
        </w:rPr>
        <w:t>tradables</w:t>
      </w:r>
      <w:proofErr w:type="spellEnd"/>
      <w:r>
        <w:t xml:space="preserve"> se de</w:t>
      </w:r>
      <w:r w:rsidR="00C74C2F">
        <w:t>para</w:t>
      </w:r>
      <w:r w:rsidR="001A4EC1">
        <w:t>m com novos concorrentes operando com preços m</w:t>
      </w:r>
      <w:r w:rsidR="00C74C2F">
        <w:t xml:space="preserve">ais baixos que os seus e se </w:t>
      </w:r>
      <w:r w:rsidR="00C3488A">
        <w:t>veem</w:t>
      </w:r>
      <w:r w:rsidR="001A4EC1">
        <w:t xml:space="preserve"> obrigados </w:t>
      </w:r>
      <w:r w:rsidR="002B169E">
        <w:t xml:space="preserve">a </w:t>
      </w:r>
      <w:r w:rsidR="001A4EC1">
        <w:t>baixar o mark-up</w:t>
      </w:r>
      <w:r w:rsidR="00C74C2F">
        <w:t xml:space="preserve">. Nos termos de </w:t>
      </w:r>
      <w:proofErr w:type="spellStart"/>
      <w:r w:rsidR="00C74C2F">
        <w:t>Kalecki</w:t>
      </w:r>
      <w:proofErr w:type="spellEnd"/>
      <w:r w:rsidR="00AF5051">
        <w:t xml:space="preserve">, </w:t>
      </w:r>
      <w:r w:rsidR="001A4EC1">
        <w:t xml:space="preserve">o grau de monopólio </w:t>
      </w:r>
      <w:r w:rsidR="00AF5051">
        <w:t xml:space="preserve">é reduzido. </w:t>
      </w:r>
      <w:r w:rsidR="001A4EC1">
        <w:t>Diferentemente, para os setores não-</w:t>
      </w:r>
      <w:proofErr w:type="spellStart"/>
      <w:r w:rsidR="001A4EC1" w:rsidRPr="001A4EC1">
        <w:rPr>
          <w:i/>
        </w:rPr>
        <w:t>tradables</w:t>
      </w:r>
      <w:proofErr w:type="spellEnd"/>
      <w:r w:rsidR="001A4EC1">
        <w:t xml:space="preserve"> e monitorados,</w:t>
      </w:r>
      <w:r w:rsidR="00C74C2F">
        <w:t xml:space="preserve"> a valorização do real implica</w:t>
      </w:r>
      <w:r w:rsidR="001A4EC1">
        <w:t xml:space="preserve"> tão somente em depressão dos custos das matérias primas</w:t>
      </w:r>
      <w:r w:rsidR="00C74C2F">
        <w:t>, o que pode</w:t>
      </w:r>
      <w:r w:rsidR="001A4EC1">
        <w:t xml:space="preserve"> induzir, inclusive, à elevação da margem de </w:t>
      </w:r>
      <w:proofErr w:type="gramStart"/>
      <w:r w:rsidR="001A4EC1">
        <w:t>lucro</w:t>
      </w:r>
      <w:r w:rsidR="005841D1">
        <w:t xml:space="preserve"> </w:t>
      </w:r>
      <w:r w:rsidR="00AF5051">
        <w:t>.</w:t>
      </w:r>
      <w:proofErr w:type="gramEnd"/>
    </w:p>
    <w:p w14:paraId="2E3F4C63" w14:textId="2452BFB1" w:rsidR="006C2DC8" w:rsidRDefault="00901193" w:rsidP="00310B39">
      <w:r>
        <w:tab/>
        <w:t>Na próxima seção vamos tentar analisar os determinante</w:t>
      </w:r>
      <w:r w:rsidR="005841D1">
        <w:t>s desta recorrência</w:t>
      </w:r>
      <w:r>
        <w:t>. Antes disso, porém, cab</w:t>
      </w:r>
      <w:r w:rsidR="00540949">
        <w:t>e uma última olhada no Quadro 1</w:t>
      </w:r>
      <w:r>
        <w:t xml:space="preserve"> para observar alguns “acordes dissonantes”. Em especial, no </w:t>
      </w:r>
      <w:r w:rsidR="006C2DC8">
        <w:t>segundo governo Lula e no primeiro go</w:t>
      </w:r>
      <w:r>
        <w:t xml:space="preserve">verno Dilma, quando </w:t>
      </w:r>
      <w:r w:rsidR="006C2DC8">
        <w:t>os monitorados passam a apresentar uma inflação menor e os não-</w:t>
      </w:r>
      <w:proofErr w:type="spellStart"/>
      <w:r w:rsidR="006C2DC8" w:rsidRPr="006C2DC8">
        <w:rPr>
          <w:i/>
        </w:rPr>
        <w:t>tradables</w:t>
      </w:r>
      <w:proofErr w:type="spellEnd"/>
      <w:r w:rsidR="006C2DC8">
        <w:t xml:space="preserve"> passam a apresentar a taxa mais elevada de inflação</w:t>
      </w:r>
      <w:r w:rsidR="0073019B">
        <w:t xml:space="preserve"> dentre os três segmentos</w:t>
      </w:r>
      <w:r w:rsidR="006C2DC8">
        <w:t>. O que ocorreu neste período?</w:t>
      </w:r>
    </w:p>
    <w:p w14:paraId="4D624702" w14:textId="51CA4B7B" w:rsidR="00A554EC" w:rsidRDefault="006C2DC8" w:rsidP="00310B39">
      <w:r>
        <w:tab/>
      </w:r>
      <w:r w:rsidR="0073019B">
        <w:t>Em primeiro lugar</w:t>
      </w:r>
      <w:r>
        <w:t xml:space="preserve"> é preciso reconhecer que a inflexão não é gratuita e revela o reconhecimento por parte dos governos Lula e Dilma dos desdobramentos perversos da política anti-inflacionária </w:t>
      </w:r>
      <w:r w:rsidR="00B728A3">
        <w:t>que estrutura o Plano Real</w:t>
      </w:r>
      <w:r>
        <w:t xml:space="preserve">. </w:t>
      </w:r>
      <w:r w:rsidRPr="00793714">
        <w:t xml:space="preserve">A despeito do </w:t>
      </w:r>
      <w:r w:rsidR="00B728A3" w:rsidRPr="00793714">
        <w:t xml:space="preserve">Governo </w:t>
      </w:r>
      <w:r w:rsidRPr="00793714">
        <w:t xml:space="preserve">não ter como interferir diretamente sobre esta política </w:t>
      </w:r>
      <w:r>
        <w:rPr>
          <w:b/>
        </w:rPr>
        <w:t>– pois o Bacen ganhou autonomia real</w:t>
      </w:r>
      <w:r w:rsidR="001F1B7E">
        <w:rPr>
          <w:b/>
        </w:rPr>
        <w:t xml:space="preserve"> crescente</w:t>
      </w:r>
      <w:r>
        <w:rPr>
          <w:b/>
        </w:rPr>
        <w:t xml:space="preserve"> </w:t>
      </w:r>
      <w:r w:rsidR="00BC292E">
        <w:rPr>
          <w:b/>
        </w:rPr>
        <w:t>de 1988 a 2004</w:t>
      </w:r>
      <w:r w:rsidR="00BC292E">
        <w:rPr>
          <w:rStyle w:val="Refdenotaderodap"/>
          <w:b/>
        </w:rPr>
        <w:footnoteReference w:id="7"/>
      </w:r>
      <w:r w:rsidR="001F1B7E">
        <w:rPr>
          <w:b/>
        </w:rPr>
        <w:t xml:space="preserve"> </w:t>
      </w:r>
      <w:r w:rsidR="006B485B">
        <w:rPr>
          <w:b/>
        </w:rPr>
        <w:t xml:space="preserve">-, </w:t>
      </w:r>
      <w:r w:rsidR="006B485B" w:rsidRPr="00793714">
        <w:t>foram encetadas diversas estratégias paliativas que levaram a minimizar seu</w:t>
      </w:r>
      <w:r w:rsidR="0027480F">
        <w:t>s</w:t>
      </w:r>
      <w:r w:rsidR="006B485B" w:rsidRPr="00793714">
        <w:t xml:space="preserve"> efeitos mais perversos. </w:t>
      </w:r>
      <w:r w:rsidR="006B485B">
        <w:t xml:space="preserve">Dentre as quais, cabe salientar: 1) a alteração nas regras de indexação dos preços </w:t>
      </w:r>
      <w:r w:rsidR="001F1B7E">
        <w:t xml:space="preserve">dos serviços privatizados na era FHC </w:t>
      </w:r>
      <w:r w:rsidR="006B485B">
        <w:t xml:space="preserve">e </w:t>
      </w:r>
      <w:r w:rsidR="001F1B7E">
        <w:t xml:space="preserve">contenção e/ou </w:t>
      </w:r>
      <w:r w:rsidR="006B485B">
        <w:t>adiamento da elevação dos preços dos bens e serviços ofertados pelo poder público (</w:t>
      </w:r>
      <w:r w:rsidR="001F1B7E">
        <w:t xml:space="preserve">p. </w:t>
      </w:r>
      <w:proofErr w:type="spellStart"/>
      <w:r w:rsidR="001F1B7E">
        <w:t>ex</w:t>
      </w:r>
      <w:proofErr w:type="spellEnd"/>
      <w:r w:rsidR="001F1B7E">
        <w:t>: gasolina, diesel, GLP)</w:t>
      </w:r>
      <w:r w:rsidR="00540949">
        <w:rPr>
          <w:rStyle w:val="Refdenotaderodap"/>
        </w:rPr>
        <w:footnoteReference w:id="8"/>
      </w:r>
      <w:r w:rsidR="001F1B7E">
        <w:t xml:space="preserve">; 2) </w:t>
      </w:r>
      <w:r w:rsidR="006B485B">
        <w:t>ampliação</w:t>
      </w:r>
      <w:r w:rsidR="001F1B7E">
        <w:t xml:space="preserve"> d</w:t>
      </w:r>
      <w:r w:rsidR="00821D7D">
        <w:t xml:space="preserve">as desonerações, </w:t>
      </w:r>
      <w:r w:rsidR="001F1B7E">
        <w:t xml:space="preserve">benefícios </w:t>
      </w:r>
      <w:r w:rsidR="0048280D">
        <w:t>fiscais e financeiros concedidos à indústria nacional e multinacional instalada no Brasil a</w:t>
      </w:r>
      <w:r w:rsidR="00D00E30">
        <w:t xml:space="preserve"> título de política industrial</w:t>
      </w:r>
      <w:r w:rsidR="00540949">
        <w:t xml:space="preserve">, mas que, de fato, </w:t>
      </w:r>
      <w:r w:rsidR="00D00E30">
        <w:t xml:space="preserve">operam como </w:t>
      </w:r>
      <w:r w:rsidR="0048280D">
        <w:t>compensação pela extraordinária exposição competitiva cambial</w:t>
      </w:r>
      <w:r w:rsidR="0048280D">
        <w:rPr>
          <w:rStyle w:val="Refdenotaderodap"/>
        </w:rPr>
        <w:footnoteReference w:id="9"/>
      </w:r>
      <w:r w:rsidR="00D00E30">
        <w:t>; e 3) o gradual descasamento das políticas fiscal, salari</w:t>
      </w:r>
      <w:r w:rsidR="00BC292E">
        <w:t>al, social e redistributiva</w:t>
      </w:r>
      <w:r w:rsidR="00D00E30">
        <w:t xml:space="preserve"> </w:t>
      </w:r>
      <w:r w:rsidR="00BC292E">
        <w:t>(</w:t>
      </w:r>
      <w:r w:rsidR="00D00E30">
        <w:t>de c</w:t>
      </w:r>
      <w:r w:rsidR="00BC292E">
        <w:t>orte crescentemente heterodoxo)</w:t>
      </w:r>
      <w:r w:rsidR="00D00E30">
        <w:t xml:space="preserve"> d</w:t>
      </w:r>
      <w:r w:rsidR="00BC292E">
        <w:t>a política monetária e cambial (</w:t>
      </w:r>
      <w:r w:rsidR="00B728A3">
        <w:t>de corte estritamente ortod</w:t>
      </w:r>
      <w:r w:rsidR="00D00E30">
        <w:t>oxo</w:t>
      </w:r>
      <w:r w:rsidR="00E34DDB">
        <w:t>)</w:t>
      </w:r>
      <w:r w:rsidR="00D00E30">
        <w:t>.</w:t>
      </w:r>
      <w:r w:rsidR="00B728A3">
        <w:t xml:space="preserve"> E este conjunto de inflexões vai se refletir</w:t>
      </w:r>
      <w:r w:rsidR="009306E8">
        <w:t xml:space="preserve"> numa profunda alteração do padrão “normal” de hierarquização dos distintos </w:t>
      </w:r>
      <w:proofErr w:type="spellStart"/>
      <w:r w:rsidR="009306E8">
        <w:t>IPCAs</w:t>
      </w:r>
      <w:proofErr w:type="spellEnd"/>
      <w:r w:rsidR="009306E8">
        <w:t xml:space="preserve">. Mais exatamente: 1) o IPCA </w:t>
      </w:r>
      <w:r w:rsidR="00B728A3">
        <w:t>não-</w:t>
      </w:r>
      <w:proofErr w:type="spellStart"/>
      <w:r w:rsidR="00B728A3" w:rsidRPr="00B728A3">
        <w:rPr>
          <w:i/>
        </w:rPr>
        <w:t>tradables</w:t>
      </w:r>
      <w:proofErr w:type="spellEnd"/>
      <w:r w:rsidR="00D00E30">
        <w:t xml:space="preserve"> </w:t>
      </w:r>
      <w:r w:rsidR="009306E8">
        <w:t xml:space="preserve">- </w:t>
      </w:r>
      <w:r w:rsidR="00B728A3">
        <w:t xml:space="preserve">que é particularmente afetado pela taxa de salário e pouco responsivo à taxa de câmbio </w:t>
      </w:r>
      <w:r w:rsidR="009306E8">
        <w:t xml:space="preserve">- vai </w:t>
      </w:r>
      <w:r w:rsidR="00B728A3">
        <w:t>assumir a liderança em todos os anos de 2007 a 2014</w:t>
      </w:r>
      <w:r w:rsidR="002C3FE6">
        <w:t xml:space="preserve">; </w:t>
      </w:r>
      <w:r w:rsidR="009306E8">
        <w:t>e</w:t>
      </w:r>
      <w:r w:rsidR="00540949">
        <w:t xml:space="preserve"> </w:t>
      </w:r>
      <w:r w:rsidR="009306E8">
        <w:t xml:space="preserve">2) o IPCA monitorado passa a assumir os menores valores no mesmo período (2007-2014), </w:t>
      </w:r>
      <w:r w:rsidR="009306E8">
        <w:lastRenderedPageBreak/>
        <w:t>com exceção dos atípicos anos de 2009 e 2011, marcados por fortes inflexões nos merc</w:t>
      </w:r>
      <w:r w:rsidR="00581236">
        <w:t>ados internacionais</w:t>
      </w:r>
      <w:r w:rsidR="009306E8">
        <w:t xml:space="preserve"> de </w:t>
      </w:r>
      <w:r w:rsidR="009306E8" w:rsidRPr="009306E8">
        <w:rPr>
          <w:i/>
        </w:rPr>
        <w:t>commodities</w:t>
      </w:r>
      <w:r w:rsidR="00A554EC">
        <w:t>,</w:t>
      </w:r>
      <w:r w:rsidR="009306E8">
        <w:rPr>
          <w:i/>
        </w:rPr>
        <w:t xml:space="preserve"> </w:t>
      </w:r>
      <w:r w:rsidR="009306E8">
        <w:t>que deprim</w:t>
      </w:r>
      <w:r w:rsidR="00A554EC">
        <w:t>ira</w:t>
      </w:r>
      <w:r w:rsidR="009306E8">
        <w:t xml:space="preserve">m </w:t>
      </w:r>
      <w:r w:rsidR="00A554EC">
        <w:t xml:space="preserve">significativamente </w:t>
      </w:r>
      <w:r w:rsidR="009306E8">
        <w:t>o</w:t>
      </w:r>
      <w:r w:rsidR="00A554EC">
        <w:t>s</w:t>
      </w:r>
      <w:r w:rsidR="009306E8">
        <w:t xml:space="preserve"> preço</w:t>
      </w:r>
      <w:r w:rsidR="00A554EC">
        <w:t>s</w:t>
      </w:r>
      <w:r w:rsidR="009306E8">
        <w:t xml:space="preserve"> </w:t>
      </w:r>
      <w:r w:rsidR="00A554EC">
        <w:t>internos dos bens</w:t>
      </w:r>
      <w:r w:rsidR="009306E8">
        <w:t xml:space="preserve"> </w:t>
      </w:r>
      <w:proofErr w:type="spellStart"/>
      <w:r w:rsidR="009306E8" w:rsidRPr="009306E8">
        <w:rPr>
          <w:i/>
        </w:rPr>
        <w:t>tradables</w:t>
      </w:r>
      <w:proofErr w:type="spellEnd"/>
      <w:r w:rsidR="00894EA1">
        <w:rPr>
          <w:i/>
        </w:rPr>
        <w:t>.</w:t>
      </w:r>
      <w:r w:rsidR="009306E8">
        <w:t xml:space="preserve"> </w:t>
      </w:r>
    </w:p>
    <w:p w14:paraId="4E4AF7C9" w14:textId="1590AE3D" w:rsidR="00657413" w:rsidRDefault="00581236" w:rsidP="00310B39">
      <w:pPr>
        <w:rPr>
          <w:b/>
        </w:rPr>
      </w:pPr>
      <w:r>
        <w:tab/>
        <w:t>Observada superficialmente, o</w:t>
      </w:r>
      <w:r w:rsidR="00A554EC">
        <w:t xml:space="preserve"> “</w:t>
      </w:r>
      <w:proofErr w:type="spellStart"/>
      <w:r w:rsidR="00A554EC">
        <w:t>Dilmanomics</w:t>
      </w:r>
      <w:proofErr w:type="spellEnd"/>
      <w:r w:rsidR="00A554EC">
        <w:t>”</w:t>
      </w:r>
      <w:r>
        <w:rPr>
          <w:rStyle w:val="Refdenotaderodap"/>
        </w:rPr>
        <w:footnoteReference w:id="10"/>
      </w:r>
      <w:r w:rsidR="00A554EC">
        <w:t xml:space="preserve"> </w:t>
      </w:r>
      <w:r w:rsidR="00667494">
        <w:t xml:space="preserve">parece </w:t>
      </w:r>
      <w:r>
        <w:t>um estrondoso sucess</w:t>
      </w:r>
      <w:r w:rsidR="00821D7D">
        <w:t xml:space="preserve">o: </w:t>
      </w:r>
      <w:r w:rsidR="00821D7D" w:rsidRPr="00C4338C">
        <w:rPr>
          <w:b/>
        </w:rPr>
        <w:t>a infl</w:t>
      </w:r>
      <w:r w:rsidR="00C4338C" w:rsidRPr="00C4338C">
        <w:rPr>
          <w:b/>
        </w:rPr>
        <w:t>ação foi posta sob controle</w:t>
      </w:r>
      <w:r w:rsidR="00D837E2">
        <w:rPr>
          <w:b/>
        </w:rPr>
        <w:t xml:space="preserve"> </w:t>
      </w:r>
      <w:r w:rsidR="00657413">
        <w:rPr>
          <w:b/>
        </w:rPr>
        <w:t xml:space="preserve">em grande parte pela revisão das regras de indexação dos serviços privatizados e pelo controle dos preços públicos, </w:t>
      </w:r>
      <w:r w:rsidR="00C4338C" w:rsidRPr="00C4338C">
        <w:rPr>
          <w:b/>
        </w:rPr>
        <w:t xml:space="preserve">os setores </w:t>
      </w:r>
      <w:proofErr w:type="spellStart"/>
      <w:r w:rsidR="00C4338C" w:rsidRPr="00C4338C">
        <w:rPr>
          <w:b/>
          <w:i/>
        </w:rPr>
        <w:t>tradables</w:t>
      </w:r>
      <w:proofErr w:type="spellEnd"/>
      <w:r w:rsidR="00C4338C" w:rsidRPr="00C4338C">
        <w:rPr>
          <w:b/>
        </w:rPr>
        <w:t xml:space="preserve"> deixaram de ser penalizados de forma sistemática</w:t>
      </w:r>
      <w:r w:rsidR="00657413">
        <w:rPr>
          <w:b/>
        </w:rPr>
        <w:t xml:space="preserve"> apoiados na política industrial do governo</w:t>
      </w:r>
      <w:r w:rsidR="00C4338C" w:rsidRPr="00C4338C">
        <w:rPr>
          <w:b/>
        </w:rPr>
        <w:t xml:space="preserve"> e os setores intensivos em trabalho </w:t>
      </w:r>
      <w:r w:rsidR="00D72B08">
        <w:rPr>
          <w:b/>
        </w:rPr>
        <w:t xml:space="preserve">passaram a ser </w:t>
      </w:r>
      <w:r w:rsidR="00C4338C" w:rsidRPr="00C4338C">
        <w:rPr>
          <w:b/>
        </w:rPr>
        <w:t xml:space="preserve">privilegiados. O </w:t>
      </w:r>
      <w:r w:rsidR="00D501A7">
        <w:rPr>
          <w:b/>
        </w:rPr>
        <w:t xml:space="preserve">desdobramento deste sistema no plano distributivo não </w:t>
      </w:r>
      <w:r w:rsidR="00C4338C" w:rsidRPr="00C4338C">
        <w:rPr>
          <w:b/>
        </w:rPr>
        <w:t xml:space="preserve">poderia ser mais virtuoso: crescimento do emprego, do salário nominal e, dada a relativa estabilidade dos preços, do salário real. </w:t>
      </w:r>
    </w:p>
    <w:p w14:paraId="2D10AE9D" w14:textId="6121E1B6" w:rsidR="009F0C90" w:rsidRDefault="005A45FF" w:rsidP="00310B39">
      <w:pPr>
        <w:ind w:firstLine="720"/>
      </w:pPr>
      <w:r>
        <w:t>Mas observado mais de perto</w:t>
      </w:r>
      <w:r w:rsidR="00A4365D">
        <w:t xml:space="preserve"> o</w:t>
      </w:r>
      <w:r w:rsidR="00D501A7">
        <w:t xml:space="preserve"> sistema como um todo já apresentava os seus limites. O controle da inflação dependia cada vez mais do controle dos monitorados</w:t>
      </w:r>
      <w:r w:rsidR="00EA2642">
        <w:t>,</w:t>
      </w:r>
      <w:r w:rsidR="00D501A7">
        <w:t xml:space="preserve"> e este </w:t>
      </w:r>
      <w:r w:rsidR="00EA2642">
        <w:t>controle era função</w:t>
      </w:r>
      <w:r w:rsidR="00667494">
        <w:t xml:space="preserve">, de um lado, </w:t>
      </w:r>
      <w:r w:rsidR="00D501A7">
        <w:t xml:space="preserve">do represamento dos preços públicos </w:t>
      </w:r>
      <w:r w:rsidR="00667494">
        <w:t>(</w:t>
      </w:r>
      <w:r w:rsidR="00D501A7">
        <w:t>com graves rebatimentos na evolução d</w:t>
      </w:r>
      <w:r w:rsidR="00667494">
        <w:t>o resultado primário) e, de outro, do enfrentamento dos int</w:t>
      </w:r>
      <w:r w:rsidR="008E03F2">
        <w:t>eresses dos administradores privados dos serviços industriais de utilidade pública (como distribuição de energia, serviços hidro e aeroportuários, dentre outros)</w:t>
      </w:r>
      <w:r w:rsidR="00667494">
        <w:t xml:space="preserve"> </w:t>
      </w:r>
      <w:r w:rsidR="008E03F2">
        <w:t>.</w:t>
      </w:r>
      <w:r w:rsidR="00D501A7">
        <w:t xml:space="preserve"> </w:t>
      </w:r>
      <w:r w:rsidR="00760B36">
        <w:t>Simultaneamente</w:t>
      </w:r>
      <w:r w:rsidR="00EA2642">
        <w:t>, os instrumentos mobilizados para impedir que a exposi</w:t>
      </w:r>
      <w:r w:rsidR="008A11ED">
        <w:t>ção competitiva cambial levasse</w:t>
      </w:r>
      <w:r w:rsidR="00EA2642">
        <w:t xml:space="preserve"> à completa desestruturação da indústria estavam quase que integralmente assentados em benefícios fiscais e financeiros</w:t>
      </w:r>
      <w:r w:rsidR="00760B36">
        <w:t>,</w:t>
      </w:r>
      <w:r w:rsidR="00EA2642">
        <w:t xml:space="preserve"> </w:t>
      </w:r>
      <w:r w:rsidR="00760B36">
        <w:t>com rebatimentos igualmente expressivos</w:t>
      </w:r>
      <w:r w:rsidR="008E03F2">
        <w:t xml:space="preserve"> nas contas públicas</w:t>
      </w:r>
      <w:r w:rsidR="00760B36">
        <w:t xml:space="preserve">. </w:t>
      </w:r>
      <w:r w:rsidR="00A4365D">
        <w:t>A</w:t>
      </w:r>
      <w:r w:rsidR="00760B36">
        <w:t xml:space="preserve">lém disso, a política social ganhava expressão crescente não apenas em termos fiscais: ao elevar efetivamente a qualidade de vida da população de baixa renda, contribuía para a depressão da oferta de trabalhadores (adolescentes em fase de conclusão do ensino médio, </w:t>
      </w:r>
      <w:r w:rsidR="001E0CAC">
        <w:t xml:space="preserve">mães optando pela dedicação </w:t>
      </w:r>
      <w:r w:rsidR="00B54644">
        <w:t xml:space="preserve">integral às atividades </w:t>
      </w:r>
      <w:r w:rsidR="00613E6F">
        <w:t>domésticas, etc.) e, por extensão, para a elevação dos salários nominais e reais</w:t>
      </w:r>
      <w:r w:rsidR="003B6498">
        <w:rPr>
          <w:rStyle w:val="Refdenotaderodap"/>
        </w:rPr>
        <w:footnoteReference w:id="11"/>
      </w:r>
      <w:r w:rsidR="00613E6F">
        <w:t xml:space="preserve">. </w:t>
      </w:r>
      <w:r w:rsidR="00D135D8">
        <w:t xml:space="preserve">Este é o processo que chamamos acima de “gradual descasamento entre as políticas fiscal-salarial-redistributiva </w:t>
      </w:r>
      <w:r w:rsidR="00B54644">
        <w:t xml:space="preserve">do Governo </w:t>
      </w:r>
      <w:r w:rsidR="00D135D8">
        <w:t xml:space="preserve">e </w:t>
      </w:r>
      <w:r w:rsidR="00B54644">
        <w:t xml:space="preserve">a política </w:t>
      </w:r>
      <w:r w:rsidR="00D135D8">
        <w:t>monetário-cambial</w:t>
      </w:r>
      <w:r w:rsidR="00B54644">
        <w:t xml:space="preserve"> do Bacen</w:t>
      </w:r>
      <w:r w:rsidR="00D135D8">
        <w:t xml:space="preserve">”. É como se o </w:t>
      </w:r>
      <w:r w:rsidR="00D135D8">
        <w:lastRenderedPageBreak/>
        <w:t xml:space="preserve">Governo tentasse compensar todos </w:t>
      </w:r>
      <w:r w:rsidR="00DF73A9">
        <w:t>os desequilíbrios impostos à e</w:t>
      </w:r>
      <w:r w:rsidR="00B54644">
        <w:t xml:space="preserve">conomia real pela política anti-inflacionária </w:t>
      </w:r>
      <w:r w:rsidR="00DF73A9">
        <w:t>do Bacen</w:t>
      </w:r>
      <w:r w:rsidR="00B54644">
        <w:t>. Mas o faz</w:t>
      </w:r>
      <w:r>
        <w:t>ia</w:t>
      </w:r>
      <w:r w:rsidR="00B54644">
        <w:t xml:space="preserve"> em diapasão diametralmen</w:t>
      </w:r>
      <w:r w:rsidR="009E28E8">
        <w:t>te oposto, de forma abertamente heterodoxa, discricionária, e interferindo no processo de precificação,</w:t>
      </w:r>
      <w:r w:rsidR="00B54644">
        <w:t xml:space="preserve"> represando alguns </w:t>
      </w:r>
      <w:r w:rsidR="009E28E8">
        <w:t xml:space="preserve">preços </w:t>
      </w:r>
      <w:r w:rsidR="00B54644">
        <w:t xml:space="preserve">(dos bens e serviços que oferta) liberando outros (salários) e ampliando </w:t>
      </w:r>
      <w:r w:rsidR="008E03F2">
        <w:t xml:space="preserve">(de forma insuficiente) </w:t>
      </w:r>
      <w:r w:rsidR="009E28E8">
        <w:t>as margens de lucro d</w:t>
      </w:r>
      <w:r w:rsidR="00B54644">
        <w:t xml:space="preserve">os setores </w:t>
      </w:r>
      <w:r w:rsidR="009E28E8">
        <w:t>até então oprimidos com a exposição competitiva cambial (indústria).</w:t>
      </w:r>
      <w:r>
        <w:t xml:space="preserve"> </w:t>
      </w:r>
    </w:p>
    <w:p w14:paraId="740799A5" w14:textId="0DF95D2C" w:rsidR="00613E6F" w:rsidRPr="005A45FF" w:rsidRDefault="005A45FF" w:rsidP="00310B39">
      <w:pPr>
        <w:ind w:firstLine="720"/>
      </w:pPr>
      <w:r>
        <w:t>Tal como se poderia prever, o resultado foi o déficit primário do setor público em 2014 com a inflação no limite superior da meta puxada pelo setor não-</w:t>
      </w:r>
      <w:proofErr w:type="spellStart"/>
      <w:r w:rsidRPr="005A45FF">
        <w:rPr>
          <w:i/>
        </w:rPr>
        <w:t>tradable</w:t>
      </w:r>
      <w:proofErr w:type="spellEnd"/>
      <w:r>
        <w:rPr>
          <w:i/>
        </w:rPr>
        <w:t xml:space="preserve"> </w:t>
      </w:r>
      <w:r w:rsidR="00C73903">
        <w:t>(q</w:t>
      </w:r>
      <w:r w:rsidR="009F0C90">
        <w:t>ue é fortemente influenciado pelos custos salariais</w:t>
      </w:r>
      <w:r w:rsidR="00C73903">
        <w:t>)</w:t>
      </w:r>
      <w:r w:rsidR="009F0C90">
        <w:t xml:space="preserve">. </w:t>
      </w:r>
      <w:r w:rsidR="00C73903">
        <w:t xml:space="preserve">Além disso, </w:t>
      </w:r>
      <w:r w:rsidR="009F0C90">
        <w:t xml:space="preserve">2014 se encerra com </w:t>
      </w:r>
      <w:r w:rsidR="00C73903">
        <w:t xml:space="preserve">um </w:t>
      </w:r>
      <w:r w:rsidR="009F0C90">
        <w:t>déficit na Balança Comercial de 3,9 bilhões de dólares (o primeiro resultado negativo desde 2000) e crescimento do PIB próximo de zero. E como o processo de redistribuição de renda continua em curso</w:t>
      </w:r>
      <w:r w:rsidR="00C73903">
        <w:t xml:space="preserve"> e a grande burguesia se encontra protegida por um sistema tributário que não taxa o capital e por um sistema econômico que privilegia, acima de tudo, o pagamento dos juros da dívida pública</w:t>
      </w:r>
      <w:r w:rsidR="009F0C90">
        <w:t xml:space="preserve">, a transferência para a população mais pobre </w:t>
      </w:r>
      <w:r w:rsidR="00C73903">
        <w:t>vai se realizar às custas da classe média</w:t>
      </w:r>
      <w:r w:rsidR="00337AD8">
        <w:rPr>
          <w:rStyle w:val="Refdenotaderodap"/>
        </w:rPr>
        <w:footnoteReference w:id="12"/>
      </w:r>
      <w:r w:rsidR="00C73903">
        <w:t xml:space="preserve">. O que vai se manifestar no </w:t>
      </w:r>
      <w:proofErr w:type="spellStart"/>
      <w:r w:rsidR="008E03F2">
        <w:t>tensionamento</w:t>
      </w:r>
      <w:proofErr w:type="spellEnd"/>
      <w:r w:rsidR="00C73903">
        <w:t xml:space="preserve"> do embate político no país ao longo do processo eleitoral no segundo semestre de 2014 e logo após </w:t>
      </w:r>
      <w:r w:rsidR="001F70D4">
        <w:t>a</w:t>
      </w:r>
      <w:r w:rsidR="00C73903">
        <w:t xml:space="preserve">o mesmo. </w:t>
      </w:r>
    </w:p>
    <w:p w14:paraId="629E3C43" w14:textId="49018379" w:rsidR="00BE100A" w:rsidRDefault="001F70D4" w:rsidP="00310B39">
      <w:pPr>
        <w:ind w:firstLine="720"/>
      </w:pPr>
      <w:r>
        <w:t>A reeleição de Dilma será obtida</w:t>
      </w:r>
      <w:r w:rsidR="00CF23CA">
        <w:t>, assim,</w:t>
      </w:r>
      <w:r>
        <w:t xml:space="preserve"> nu</w:t>
      </w:r>
      <w:r w:rsidR="00CF23CA">
        <w:t xml:space="preserve">m quadro de </w:t>
      </w:r>
      <w:r>
        <w:t>disputa</w:t>
      </w:r>
      <w:r w:rsidR="00CF23CA">
        <w:t xml:space="preserve"> acirrad</w:t>
      </w:r>
      <w:r>
        <w:t>íssima</w:t>
      </w:r>
      <w:r w:rsidR="00CF23CA">
        <w:t>. T</w:t>
      </w:r>
      <w:r w:rsidR="00657413">
        <w:t>ão logo reeleita e antes mesmo de tomar posse para o novo mandato, já anuncia infle</w:t>
      </w:r>
      <w:r w:rsidR="00CF23CA">
        <w:t>xões na política econômica. O núcleo da inflexão encontra-se na adoção de uma política fiscal contracionista</w:t>
      </w:r>
      <w:r w:rsidR="005B6BD7">
        <w:t xml:space="preserve">. </w:t>
      </w:r>
      <w:r w:rsidR="005B6BD7" w:rsidRPr="005B6BD7">
        <w:rPr>
          <w:b/>
        </w:rPr>
        <w:t>Formalmente</w:t>
      </w:r>
      <w:r w:rsidR="005B6BD7">
        <w:t>, o que se busca</w:t>
      </w:r>
      <w:r w:rsidR="00657413">
        <w:t xml:space="preserve"> </w:t>
      </w:r>
      <w:r w:rsidR="005B6BD7">
        <w:t>é a conquista de superávits primários capazes de levar à depressão da relação dívida/PIB e à retomada da confiança do</w:t>
      </w:r>
      <w:r w:rsidR="00BE100A">
        <w:t xml:space="preserve"> mercado na gestão pública</w:t>
      </w:r>
      <w:r w:rsidR="005B6BD7">
        <w:t xml:space="preserve">. Tal como ficou claro em pouco tempo, este discurso não </w:t>
      </w:r>
      <w:r w:rsidR="00D076F6">
        <w:t>se sustentava empiricamente</w:t>
      </w:r>
      <w:r w:rsidR="005B6BD7">
        <w:t xml:space="preserve">. O multiplicador do gasto público é extremamente elevado no Brasil, de sorte que a depressão dos gastos públicos implica em queda expressiva da arrecadação, realimentando o déficit que se quer, teoricamente, combater. </w:t>
      </w:r>
    </w:p>
    <w:p w14:paraId="6B7AB0C7" w14:textId="09E455D4" w:rsidR="00901193" w:rsidRDefault="00D076F6" w:rsidP="00310B39">
      <w:pPr>
        <w:ind w:firstLine="720"/>
      </w:pPr>
      <w:r>
        <w:t xml:space="preserve">Daí não se extrai, contudo, que a inflexão da política econômica tenha sido </w:t>
      </w:r>
      <w:proofErr w:type="gramStart"/>
      <w:r>
        <w:t>mal conduzida</w:t>
      </w:r>
      <w:proofErr w:type="gramEnd"/>
      <w:r>
        <w:t xml:space="preserve">. Do nosso ponto de vista, a conquista do superávit nunca foi o objetivo real da política econômica adotada </w:t>
      </w:r>
      <w:r w:rsidRPr="007D082E">
        <w:t xml:space="preserve">em </w:t>
      </w:r>
      <w:r>
        <w:t>2015. O</w:t>
      </w:r>
      <w:r w:rsidRPr="007D082E">
        <w:t xml:space="preserve"> que </w:t>
      </w:r>
      <w:r>
        <w:t xml:space="preserve">se buscava era substituir a âncora cambial </w:t>
      </w:r>
      <w:r w:rsidR="00F8546F">
        <w:t>por</w:t>
      </w:r>
      <w:r w:rsidR="00F8546F" w:rsidRPr="007D082E">
        <w:t xml:space="preserve"> uma </w:t>
      </w:r>
      <w:r w:rsidR="00F8546F">
        <w:t xml:space="preserve">âncora interna. Na verdade, </w:t>
      </w:r>
      <w:r w:rsidR="00BE100A">
        <w:t xml:space="preserve">o único efeito </w:t>
      </w:r>
      <w:r w:rsidR="00F8546F">
        <w:t xml:space="preserve">impositivo </w:t>
      </w:r>
      <w:r w:rsidR="00BE100A">
        <w:t xml:space="preserve">de uma política fiscal contracionista é a </w:t>
      </w:r>
      <w:r w:rsidR="00BE100A">
        <w:lastRenderedPageBreak/>
        <w:t xml:space="preserve">depressão da demanda agregada e, por extensão, do nível de atividade e do emprego. Seu impacto sobre o nível de preços só pode se dar, portanto, indiretamente, através da relação entre nível de emprego, salários nominais e nível de preços. </w:t>
      </w:r>
      <w:r w:rsidR="00BE100A" w:rsidRPr="00397F32">
        <w:rPr>
          <w:b/>
        </w:rPr>
        <w:t xml:space="preserve">Aparentemente, a estratégia </w:t>
      </w:r>
      <w:r w:rsidR="006F520A" w:rsidRPr="00397F32">
        <w:rPr>
          <w:b/>
        </w:rPr>
        <w:t>adotada no Governo Dilma II é o de enfrentar a inflação através do represamento d</w:t>
      </w:r>
      <w:r w:rsidR="00DA4F48">
        <w:rPr>
          <w:b/>
        </w:rPr>
        <w:t xml:space="preserve">a taxa de crescimento dos rendimentos </w:t>
      </w:r>
      <w:r w:rsidR="006F520A" w:rsidRPr="00397F32">
        <w:rPr>
          <w:b/>
        </w:rPr>
        <w:t>nominais</w:t>
      </w:r>
      <w:r w:rsidR="00DA4F48">
        <w:rPr>
          <w:b/>
        </w:rPr>
        <w:t xml:space="preserve"> a partir da depressão do nível de </w:t>
      </w:r>
      <w:r w:rsidR="006F520A" w:rsidRPr="00397F32">
        <w:rPr>
          <w:b/>
        </w:rPr>
        <w:t>emprego.</w:t>
      </w:r>
      <w:r w:rsidR="006F520A">
        <w:t xml:space="preserve"> Sem sombra de dúvida, esta é uma estratégia “limite”; é a última opção de uma liderança comprometida com a transformação social e a distribuição da renda. Mas estamos convencidos de que é exatamente disto que se trata. E que é possível entender o que a levou a abraçá-la. Para tanto, precisamos compreender o imbróglio em que se encontra</w:t>
      </w:r>
      <w:r w:rsidR="00F8546F">
        <w:t>va (e se encontra)</w:t>
      </w:r>
      <w:r w:rsidR="006F520A">
        <w:t xml:space="preserve"> a economia brasileira contemporânea. </w:t>
      </w:r>
    </w:p>
    <w:p w14:paraId="5CDCA559" w14:textId="77777777" w:rsidR="006F520A" w:rsidRPr="006F520A" w:rsidRDefault="006F520A" w:rsidP="00310B39">
      <w:pPr>
        <w:rPr>
          <w:b/>
        </w:rPr>
      </w:pPr>
      <w:r w:rsidRPr="006F520A">
        <w:rPr>
          <w:b/>
        </w:rPr>
        <w:t xml:space="preserve">2. O Plano Real enquanto Pacto Social e a </w:t>
      </w:r>
      <w:r w:rsidR="00793714">
        <w:rPr>
          <w:b/>
        </w:rPr>
        <w:t xml:space="preserve">paulatina </w:t>
      </w:r>
      <w:r w:rsidR="00F96F11">
        <w:rPr>
          <w:b/>
        </w:rPr>
        <w:t xml:space="preserve">construção </w:t>
      </w:r>
      <w:r w:rsidR="00793714">
        <w:rPr>
          <w:b/>
        </w:rPr>
        <w:t xml:space="preserve">política </w:t>
      </w:r>
      <w:r w:rsidR="00F96F11">
        <w:rPr>
          <w:b/>
        </w:rPr>
        <w:t>da a</w:t>
      </w:r>
      <w:r w:rsidRPr="006F520A">
        <w:rPr>
          <w:b/>
        </w:rPr>
        <w:t>utonomia do Bacen</w:t>
      </w:r>
      <w:r w:rsidR="00793714">
        <w:rPr>
          <w:b/>
        </w:rPr>
        <w:t xml:space="preserve"> no Brasil</w:t>
      </w:r>
    </w:p>
    <w:p w14:paraId="17C02645" w14:textId="77777777" w:rsidR="00E25E70" w:rsidRDefault="00901193" w:rsidP="00310B39">
      <w:r>
        <w:tab/>
      </w:r>
      <w:r w:rsidR="00F96F11">
        <w:t xml:space="preserve">Até aqui vimos contrapondo </w:t>
      </w:r>
      <w:r w:rsidR="00561271">
        <w:t xml:space="preserve">política de </w:t>
      </w:r>
      <w:r w:rsidR="00F96F11">
        <w:t xml:space="preserve">Governo e </w:t>
      </w:r>
      <w:r w:rsidR="00561271">
        <w:t xml:space="preserve">política do </w:t>
      </w:r>
      <w:r w:rsidR="00F96F11">
        <w:t xml:space="preserve">Bacen sem, contudo, introduzirmos efetivamente a questão da autonomia do Banco Central. Ocorre que esta autonomia não foi construída </w:t>
      </w:r>
      <w:r w:rsidR="008A5A97">
        <w:t xml:space="preserve">primariamente </w:t>
      </w:r>
      <w:r w:rsidR="00561271">
        <w:t>no plano</w:t>
      </w:r>
      <w:r w:rsidR="00F96F11">
        <w:t xml:space="preserve"> legal-institucional (ainda que também o tenha sido neste plano), mas, acima de tudo, no plano político-social e é indissociável da própria histór</w:t>
      </w:r>
      <w:r w:rsidR="00561271">
        <w:t xml:space="preserve">ia do Plano Real. </w:t>
      </w:r>
      <w:r w:rsidR="00F96F11">
        <w:t xml:space="preserve"> </w:t>
      </w:r>
    </w:p>
    <w:p w14:paraId="4188DDDD" w14:textId="77777777" w:rsidR="00ED3CC0" w:rsidRPr="005875B9" w:rsidRDefault="00586A4C" w:rsidP="00310B39">
      <w:r>
        <w:tab/>
        <w:t xml:space="preserve">Segundo a </w:t>
      </w:r>
      <w:r w:rsidR="00512C99">
        <w:t>C</w:t>
      </w:r>
      <w:r>
        <w:t xml:space="preserve">onstituição de 1988 “compete privativamente ao Senado Federal aprovar previamente, por voto secreto, após arguição pública, a escolha de Presidente e Diretores do Banco Central” (Artigo 52). </w:t>
      </w:r>
      <w:r w:rsidR="0011481F">
        <w:t>Vale dizer, a Constituição de 1988 já atri</w:t>
      </w:r>
      <w:r w:rsidR="008A5A97">
        <w:t>bui ao Senado de forma</w:t>
      </w:r>
      <w:r w:rsidR="0011481F">
        <w:t xml:space="preserve"> explícita</w:t>
      </w:r>
      <w:r w:rsidR="00A92605">
        <w:t xml:space="preserve"> função proeminente na </w:t>
      </w:r>
      <w:r w:rsidR="00A92605" w:rsidRPr="00A92605">
        <w:rPr>
          <w:b/>
        </w:rPr>
        <w:t>escolha</w:t>
      </w:r>
      <w:r w:rsidR="008A5A97">
        <w:t xml:space="preserve"> e </w:t>
      </w:r>
      <w:r w:rsidR="008A5A97" w:rsidRPr="008A5A97">
        <w:rPr>
          <w:b/>
        </w:rPr>
        <w:t>aprovação</w:t>
      </w:r>
      <w:r w:rsidR="00A92605">
        <w:t xml:space="preserve"> do Presidente do Banco Central. </w:t>
      </w:r>
      <w:r>
        <w:t>Esta competência, contudo, tinha um alcance limitado enquanto o exercíci</w:t>
      </w:r>
      <w:r w:rsidR="0011481F">
        <w:t xml:space="preserve">o da gestão econômica impunha </w:t>
      </w:r>
      <w:r>
        <w:t xml:space="preserve">a interlocução </w:t>
      </w:r>
      <w:r w:rsidR="0011481F">
        <w:t>e a operação co</w:t>
      </w:r>
      <w:r w:rsidR="008A5A97">
        <w:t>njunta e articulada de to</w:t>
      </w:r>
      <w:r w:rsidR="0011481F">
        <w:t xml:space="preserve">dos </w:t>
      </w:r>
      <w:r w:rsidR="008A5A97">
        <w:t xml:space="preserve">os </w:t>
      </w:r>
      <w:r w:rsidR="0011481F">
        <w:t xml:space="preserve">agentes </w:t>
      </w:r>
      <w:r w:rsidR="00156D57">
        <w:t xml:space="preserve">públicos </w:t>
      </w:r>
      <w:r w:rsidR="0011481F">
        <w:t xml:space="preserve">com </w:t>
      </w:r>
      <w:r w:rsidR="008A5A97">
        <w:t xml:space="preserve">alguma </w:t>
      </w:r>
      <w:r w:rsidR="0011481F">
        <w:t>incidência sobre</w:t>
      </w:r>
      <w:r w:rsidR="00D250AC">
        <w:t xml:space="preserve"> as finanças públicas, a moeda e o crédito</w:t>
      </w:r>
      <w:r w:rsidR="00A92605">
        <w:t>. E esta era justamente a</w:t>
      </w:r>
      <w:r w:rsidR="0011481F">
        <w:t xml:space="preserve"> situação</w:t>
      </w:r>
      <w:r w:rsidR="00A92605">
        <w:t xml:space="preserve"> vigente nos anos da crise socioeconômica aberta com o fim do regime militar</w:t>
      </w:r>
      <w:r w:rsidR="008A5A97">
        <w:t xml:space="preserve"> cuja expressão maior er</w:t>
      </w:r>
      <w:r w:rsidR="00ED3CC0">
        <w:t xml:space="preserve">a </w:t>
      </w:r>
      <w:r w:rsidR="00156D57">
        <w:t>o conflito distributivo</w:t>
      </w:r>
      <w:r w:rsidR="008A5A97">
        <w:t xml:space="preserve"> traduzido numa </w:t>
      </w:r>
      <w:r w:rsidR="00ED3CC0" w:rsidRPr="00D250AC">
        <w:rPr>
          <w:b/>
        </w:rPr>
        <w:t xml:space="preserve">inflação crescente </w:t>
      </w:r>
      <w:r w:rsidR="008A5A97" w:rsidRPr="00D250AC">
        <w:rPr>
          <w:b/>
        </w:rPr>
        <w:t>e descontrolada</w:t>
      </w:r>
      <w:r w:rsidR="008A5A97">
        <w:t xml:space="preserve">. </w:t>
      </w:r>
      <w:r w:rsidR="00D34468">
        <w:t xml:space="preserve">Nestas circunstâncias, a </w:t>
      </w:r>
      <w:r w:rsidR="00D34468" w:rsidRPr="00B46961">
        <w:rPr>
          <w:b/>
        </w:rPr>
        <w:t>indicação</w:t>
      </w:r>
      <w:r w:rsidR="00D34468">
        <w:t xml:space="preserve"> do Presidente do Banco Central não cabia </w:t>
      </w:r>
      <w:r w:rsidR="00B46961">
        <w:t>de fato (</w:t>
      </w:r>
      <w:r w:rsidR="00D34468">
        <w:t>f</w:t>
      </w:r>
      <w:r w:rsidR="00B46961">
        <w:t xml:space="preserve">osse qual fosse a norma legal) </w:t>
      </w:r>
      <w:r w:rsidR="00D34468">
        <w:t>se</w:t>
      </w:r>
      <w:r w:rsidR="00B46961">
        <w:t>quer ao Presidente da República,</w:t>
      </w:r>
      <w:r w:rsidR="00D34468">
        <w:t xml:space="preserve"> </w:t>
      </w:r>
      <w:r w:rsidR="00B46961">
        <w:t xml:space="preserve">mas </w:t>
      </w:r>
      <w:r w:rsidR="00D34468">
        <w:t>ao M</w:t>
      </w:r>
      <w:r w:rsidR="00D250AC">
        <w:t>inistr</w:t>
      </w:r>
      <w:r w:rsidR="00B46961">
        <w:t>o da Fazenda, pois era este que usualmente</w:t>
      </w:r>
      <w:r w:rsidR="00D250AC">
        <w:t xml:space="preserve"> liderava</w:t>
      </w:r>
      <w:r w:rsidR="00D34468">
        <w:t xml:space="preserve"> a articulação das políticas fiscais e monetá</w:t>
      </w:r>
      <w:r w:rsidR="00B46961">
        <w:t>rias e dos inúmeros pacotes</w:t>
      </w:r>
      <w:r w:rsidR="00D34468">
        <w:t xml:space="preserve"> </w:t>
      </w:r>
      <w:r w:rsidR="00B46961">
        <w:t>voltados ao combate</w:t>
      </w:r>
      <w:r w:rsidR="00D34468">
        <w:t xml:space="preserve"> </w:t>
      </w:r>
      <w:r w:rsidR="00B46961">
        <w:t>da</w:t>
      </w:r>
      <w:r w:rsidR="00D34468">
        <w:t xml:space="preserve"> </w:t>
      </w:r>
      <w:r w:rsidR="0035671D">
        <w:t xml:space="preserve">crônica </w:t>
      </w:r>
      <w:r w:rsidR="00D34468">
        <w:t>inflação</w:t>
      </w:r>
      <w:r w:rsidR="0035671D">
        <w:t xml:space="preserve"> brasileira e que ganha dimensões alarmantes após </w:t>
      </w:r>
      <w:r w:rsidR="009C0C4E">
        <w:t xml:space="preserve">a </w:t>
      </w:r>
      <w:r w:rsidR="00B46961">
        <w:t>crise da ditadura militar</w:t>
      </w:r>
      <w:r w:rsidR="00D34468">
        <w:t xml:space="preserve">. </w:t>
      </w:r>
    </w:p>
    <w:p w14:paraId="3AB434FD" w14:textId="563DA7CB" w:rsidR="00D760E9" w:rsidRDefault="0041431A" w:rsidP="0075563E">
      <w:pPr>
        <w:spacing w:beforeLines="100" w:before="240" w:afterLines="100"/>
        <w:ind w:firstLine="567"/>
      </w:pPr>
      <w:r>
        <w:lastRenderedPageBreak/>
        <w:t>Ora, só alcançamos entender o significado revolucionário do Plano Real enquanto Pacto Social e a autonomia que o Banco Central conquista</w:t>
      </w:r>
      <w:r w:rsidR="00D54C43">
        <w:t>da</w:t>
      </w:r>
      <w:r>
        <w:t xml:space="preserve"> a partir de então se entendemos que a aceleração inflacionária </w:t>
      </w:r>
      <w:r w:rsidR="006322EB">
        <w:t xml:space="preserve">dos anos 80 </w:t>
      </w:r>
      <w:r w:rsidR="0035671D">
        <w:t>e a crise da ditadura são duas faces da mesma moeda, são dois f</w:t>
      </w:r>
      <w:r w:rsidR="00696DA0">
        <w:t>enômenos indissociáveis. A ditad</w:t>
      </w:r>
      <w:r w:rsidR="0035671D">
        <w:t xml:space="preserve">ura impunha </w:t>
      </w:r>
      <w:r w:rsidR="00E36874">
        <w:t xml:space="preserve">um </w:t>
      </w:r>
      <w:r w:rsidR="006322EB">
        <w:t xml:space="preserve">determinado </w:t>
      </w:r>
      <w:r w:rsidR="00E36874">
        <w:t xml:space="preserve">padrão distributivo e não admitia contestação. </w:t>
      </w:r>
      <w:r w:rsidR="003276DC">
        <w:t xml:space="preserve">Com a emergência do novo </w:t>
      </w:r>
      <w:r w:rsidR="007A15F3">
        <w:t>sindicalismo, o conflito distributivo interno vai ser reaberto nos últimos anos da</w:t>
      </w:r>
      <w:r w:rsidR="00E36874">
        <w:t xml:space="preserve"> década de 70</w:t>
      </w:r>
      <w:r w:rsidR="007A15F3">
        <w:t>.</w:t>
      </w:r>
      <w:r w:rsidR="00E36874">
        <w:t xml:space="preserve"> </w:t>
      </w:r>
      <w:r w:rsidR="007A15F3">
        <w:t xml:space="preserve">Um conflito que será levado ao paroxismo </w:t>
      </w:r>
      <w:r w:rsidR="00211648">
        <w:t xml:space="preserve">pela crise de </w:t>
      </w:r>
      <w:r w:rsidR="007A15F3">
        <w:t>liquidez internacional associada</w:t>
      </w:r>
      <w:r w:rsidR="00211648">
        <w:t xml:space="preserve"> ao </w:t>
      </w:r>
      <w:proofErr w:type="spellStart"/>
      <w:r w:rsidR="00211648" w:rsidRPr="00211648">
        <w:rPr>
          <w:i/>
        </w:rPr>
        <w:t>Reaganomics</w:t>
      </w:r>
      <w:proofErr w:type="spellEnd"/>
      <w:r w:rsidR="007A15F3">
        <w:t xml:space="preserve">. As crescentes dificuldades em refinanciar a dívida externa brasileira se desdobrarão na necessidade de gerar expressivos superávits comerciais, os quais </w:t>
      </w:r>
      <w:r w:rsidR="006A03EE">
        <w:t>serã</w:t>
      </w:r>
      <w:r w:rsidR="00156D57">
        <w:t>o conquistados a partir de maxi</w:t>
      </w:r>
      <w:r w:rsidR="007A15F3">
        <w:t xml:space="preserve">desvalorizações da moeda nacional de </w:t>
      </w:r>
      <w:r w:rsidR="006A03EE">
        <w:t xml:space="preserve">elevado impacto inflacionário. </w:t>
      </w:r>
    </w:p>
    <w:p w14:paraId="2E618F40" w14:textId="3AEBEF3B" w:rsidR="00E34DDB" w:rsidRDefault="00156D57" w:rsidP="0075563E">
      <w:pPr>
        <w:spacing w:beforeLines="100" w:before="240" w:afterLines="100"/>
        <w:ind w:firstLine="567"/>
      </w:pPr>
      <w:r>
        <w:t xml:space="preserve">Traduzida para a terminologia </w:t>
      </w:r>
      <w:proofErr w:type="spellStart"/>
      <w:r>
        <w:t>kaleckiana</w:t>
      </w:r>
      <w:proofErr w:type="spellEnd"/>
      <w:r>
        <w:t xml:space="preserve">, diríamos que a economia nacional, no início dos anos 80 é marcada </w:t>
      </w:r>
      <w:r w:rsidR="00604258" w:rsidRPr="00604258">
        <w:rPr>
          <w:b/>
        </w:rPr>
        <w:t>pela elevação dos</w:t>
      </w:r>
      <w:r w:rsidR="006A03EE" w:rsidRPr="00604258">
        <w:rPr>
          <w:b/>
        </w:rPr>
        <w:t xml:space="preserve"> custos </w:t>
      </w:r>
      <w:r w:rsidR="00604258" w:rsidRPr="00604258">
        <w:rPr>
          <w:b/>
        </w:rPr>
        <w:t>diretos</w:t>
      </w:r>
      <w:r w:rsidR="00604258">
        <w:t xml:space="preserve"> </w:t>
      </w:r>
      <w:r w:rsidR="006A03EE">
        <w:t>(sal</w:t>
      </w:r>
      <w:r w:rsidR="00604258">
        <w:t>ariais e matérias primas</w:t>
      </w:r>
      <w:r w:rsidR="006A03EE">
        <w:t>)</w:t>
      </w:r>
      <w:r w:rsidR="00604258">
        <w:t xml:space="preserve"> </w:t>
      </w:r>
      <w:r w:rsidR="00604258" w:rsidRPr="00604258">
        <w:rPr>
          <w:b/>
        </w:rPr>
        <w:t>em todos os setores e</w:t>
      </w:r>
      <w:r w:rsidR="006A03EE" w:rsidRPr="00604258">
        <w:rPr>
          <w:b/>
        </w:rPr>
        <w:t xml:space="preserve"> </w:t>
      </w:r>
      <w:r w:rsidR="00604258">
        <w:rPr>
          <w:b/>
        </w:rPr>
        <w:t xml:space="preserve">pela elevação </w:t>
      </w:r>
      <w:r w:rsidR="006A03EE" w:rsidRPr="00604258">
        <w:rPr>
          <w:b/>
        </w:rPr>
        <w:t xml:space="preserve">do grau de monopólio </w:t>
      </w:r>
      <w:r w:rsidR="00604258" w:rsidRPr="00604258">
        <w:rPr>
          <w:b/>
        </w:rPr>
        <w:t xml:space="preserve">do setor </w:t>
      </w:r>
      <w:proofErr w:type="spellStart"/>
      <w:r w:rsidR="00604258" w:rsidRPr="00604258">
        <w:rPr>
          <w:b/>
          <w:i/>
        </w:rPr>
        <w:t>tradable</w:t>
      </w:r>
      <w:proofErr w:type="spellEnd"/>
      <w:r w:rsidR="00604258">
        <w:t xml:space="preserve"> </w:t>
      </w:r>
      <w:r w:rsidR="006A03EE">
        <w:t>(</w:t>
      </w:r>
      <w:r w:rsidR="00604258">
        <w:t xml:space="preserve">uma vez que seus preços no mercado internacional se elevaram após </w:t>
      </w:r>
      <w:r w:rsidR="006A03EE">
        <w:t xml:space="preserve">a </w:t>
      </w:r>
      <w:r>
        <w:t>maxi</w:t>
      </w:r>
      <w:r w:rsidR="006A03EE">
        <w:t>desvalorização)</w:t>
      </w:r>
      <w:r w:rsidR="00604258">
        <w:t xml:space="preserve">. </w:t>
      </w:r>
      <w:r w:rsidR="00D760E9">
        <w:t>Supondo que o g</w:t>
      </w:r>
      <w:r w:rsidR="00152327">
        <w:t>rau de monopólio e o mark-up do</w:t>
      </w:r>
      <w:r w:rsidR="008C6640">
        <w:t>s</w:t>
      </w:r>
      <w:r w:rsidR="00D760E9">
        <w:t xml:space="preserve"> setores </w:t>
      </w:r>
      <w:r w:rsidRPr="008C6640">
        <w:rPr>
          <w:b/>
        </w:rPr>
        <w:t>não-</w:t>
      </w:r>
      <w:proofErr w:type="spellStart"/>
      <w:r w:rsidRPr="008C6640">
        <w:rPr>
          <w:b/>
          <w:i/>
        </w:rPr>
        <w:t>tradable</w:t>
      </w:r>
      <w:r w:rsidR="008C6640">
        <w:rPr>
          <w:b/>
          <w:i/>
        </w:rPr>
        <w:t>s</w:t>
      </w:r>
      <w:proofErr w:type="spellEnd"/>
      <w:r w:rsidR="00152327" w:rsidRPr="008C6640">
        <w:rPr>
          <w:rStyle w:val="Refdenotaderodap"/>
          <w:b/>
        </w:rPr>
        <w:footnoteReference w:id="13"/>
      </w:r>
      <w:r w:rsidR="00152327">
        <w:t xml:space="preserve"> </w:t>
      </w:r>
      <w:r w:rsidR="00D760E9">
        <w:t>fosse estável</w:t>
      </w:r>
      <w:r w:rsidR="008E5AA8">
        <w:t xml:space="preserve"> e a precificação se desse no padrão </w:t>
      </w:r>
      <w:proofErr w:type="spellStart"/>
      <w:r w:rsidR="008E5AA8">
        <w:t>kaleckiano</w:t>
      </w:r>
      <w:proofErr w:type="spellEnd"/>
      <w:r w:rsidR="008C6640">
        <w:t>, a elevação dos</w:t>
      </w:r>
      <w:r w:rsidR="00D760E9">
        <w:t xml:space="preserve"> custos</w:t>
      </w:r>
      <w:r w:rsidR="008C6640">
        <w:t xml:space="preserve"> diretos</w:t>
      </w:r>
      <w:r w:rsidR="00D760E9">
        <w:t xml:space="preserve"> seri</w:t>
      </w:r>
      <w:r w:rsidR="008E5AA8">
        <w:t>a repassada para os preços dando início a uma inflação in</w:t>
      </w:r>
      <w:r w:rsidR="002B1E00">
        <w:t>ercial</w:t>
      </w:r>
      <w:r w:rsidR="002B1E00">
        <w:rPr>
          <w:rStyle w:val="Refdenotaderodap"/>
        </w:rPr>
        <w:footnoteReference w:id="14"/>
      </w:r>
      <w:r w:rsidR="002B1E00">
        <w:t xml:space="preserve">. </w:t>
      </w:r>
      <w:r w:rsidR="00D760E9">
        <w:t xml:space="preserve">O problema é que o grau de monopólio e o </w:t>
      </w:r>
      <w:r w:rsidR="00D760E9" w:rsidRPr="00233229">
        <w:rPr>
          <w:i/>
        </w:rPr>
        <w:t>mark</w:t>
      </w:r>
      <w:r w:rsidR="00D760E9">
        <w:t>-</w:t>
      </w:r>
      <w:r w:rsidR="00D760E9" w:rsidRPr="00233229">
        <w:rPr>
          <w:i/>
        </w:rPr>
        <w:t>up</w:t>
      </w:r>
      <w:r w:rsidR="00D760E9">
        <w:t xml:space="preserve"> do segmento </w:t>
      </w:r>
      <w:proofErr w:type="spellStart"/>
      <w:r w:rsidR="00D760E9" w:rsidRPr="00D760E9">
        <w:rPr>
          <w:i/>
        </w:rPr>
        <w:t>tradable</w:t>
      </w:r>
      <w:proofErr w:type="spellEnd"/>
      <w:r w:rsidR="00D760E9">
        <w:t xml:space="preserve"> </w:t>
      </w:r>
      <w:r w:rsidR="008C6640">
        <w:t xml:space="preserve">teria sido </w:t>
      </w:r>
      <w:r w:rsidR="00D760E9">
        <w:t>ampliado</w:t>
      </w:r>
      <w:r w:rsidR="00B416C6">
        <w:t>, introduz</w:t>
      </w:r>
      <w:r w:rsidR="008C6640">
        <w:t>indo</w:t>
      </w:r>
      <w:r w:rsidR="00B416C6">
        <w:t xml:space="preserve"> u</w:t>
      </w:r>
      <w:r>
        <w:t xml:space="preserve">ma componente </w:t>
      </w:r>
      <w:proofErr w:type="spellStart"/>
      <w:r>
        <w:t>aceleracionista</w:t>
      </w:r>
      <w:proofErr w:type="spellEnd"/>
      <w:r>
        <w:t xml:space="preserve"> à</w:t>
      </w:r>
      <w:r w:rsidR="00B416C6">
        <w:t xml:space="preserve"> inércia</w:t>
      </w:r>
      <w:r w:rsidR="00B416C6">
        <w:rPr>
          <w:rStyle w:val="Refdenotaderodap"/>
        </w:rPr>
        <w:footnoteReference w:id="15"/>
      </w:r>
      <w:r w:rsidR="00233229">
        <w:t xml:space="preserve">. </w:t>
      </w:r>
    </w:p>
    <w:p w14:paraId="6FC14CB5" w14:textId="6F5A72CE" w:rsidR="00414864" w:rsidRDefault="008E5AA8" w:rsidP="0075563E">
      <w:pPr>
        <w:spacing w:beforeLines="100" w:before="240" w:afterLines="100"/>
        <w:ind w:firstLine="567"/>
      </w:pPr>
      <w:r>
        <w:t xml:space="preserve">Além disso, </w:t>
      </w:r>
      <w:r w:rsidR="00524B0C">
        <w:t xml:space="preserve">após o golpe militar, </w:t>
      </w:r>
      <w:r w:rsidR="002B1E00">
        <w:t>o Brasil estruturou um sistema financeiro muito particular, com regras de indexação de elevad</w:t>
      </w:r>
      <w:r w:rsidR="00524B0C">
        <w:t>a discricionarie</w:t>
      </w:r>
      <w:r w:rsidR="00991778">
        <w:t xml:space="preserve">dade que permitiam transformar </w:t>
      </w:r>
      <w:r w:rsidR="002B1E00">
        <w:t xml:space="preserve">a inflação </w:t>
      </w:r>
      <w:r w:rsidR="00524B0C">
        <w:t xml:space="preserve">em </w:t>
      </w:r>
      <w:r w:rsidR="002B1E00">
        <w:t xml:space="preserve">um </w:t>
      </w:r>
      <w:r w:rsidR="00524B0C">
        <w:t>“negócio” de alta rentabilidade</w:t>
      </w:r>
      <w:r w:rsidR="00C2195B">
        <w:t xml:space="preserve"> para os bancos e os clientes “mais indexados”</w:t>
      </w:r>
      <w:r w:rsidR="00524B0C">
        <w:rPr>
          <w:rStyle w:val="Refdenotaderodap"/>
        </w:rPr>
        <w:footnoteReference w:id="16"/>
      </w:r>
      <w:r w:rsidR="00C2195B">
        <w:t>. E isto na medida em que</w:t>
      </w:r>
      <w:r w:rsidR="0073019B">
        <w:t>, com a elevação da inflação, a aplicação</w:t>
      </w:r>
      <w:r w:rsidR="00C2195B">
        <w:t xml:space="preserve"> </w:t>
      </w:r>
      <w:r w:rsidR="00A14D5A">
        <w:t xml:space="preserve">dos saldos das contas </w:t>
      </w:r>
      <w:r w:rsidR="00A14D5A">
        <w:lastRenderedPageBreak/>
        <w:t xml:space="preserve">correntes </w:t>
      </w:r>
      <w:r w:rsidR="008C6640">
        <w:t xml:space="preserve">no </w:t>
      </w:r>
      <w:r w:rsidR="00A14D5A">
        <w:rPr>
          <w:i/>
        </w:rPr>
        <w:t>over</w:t>
      </w:r>
      <w:r w:rsidR="00C2195B" w:rsidRPr="00C2195B">
        <w:rPr>
          <w:i/>
        </w:rPr>
        <w:t>night</w:t>
      </w:r>
      <w:r w:rsidR="00A14D5A">
        <w:t xml:space="preserve"> p</w:t>
      </w:r>
      <w:r w:rsidR="0073019B">
        <w:t>assou a ser a regra universal</w:t>
      </w:r>
      <w:r w:rsidR="002D1344">
        <w:t xml:space="preserve">. </w:t>
      </w:r>
      <w:r w:rsidR="00414864">
        <w:t>Com um pequeno detalhe: as taxas de indexação não eram as mesmas</w:t>
      </w:r>
      <w:r w:rsidR="00991778">
        <w:t>,</w:t>
      </w:r>
      <w:r w:rsidR="00414864">
        <w:t xml:space="preserve"> mas variavam com </w:t>
      </w:r>
      <w:r w:rsidR="00A14D5A">
        <w:t xml:space="preserve">o saldo médio e </w:t>
      </w:r>
      <w:r w:rsidR="00414864">
        <w:t>com as demais aplicações do cliente no banco. Para a maior parte dos cli</w:t>
      </w:r>
      <w:r w:rsidR="0073019B">
        <w:t>entes</w:t>
      </w:r>
      <w:r w:rsidR="00414864">
        <w:t xml:space="preserve"> a indexação era apenas parcial. Para uma pequena minoria, ela era neutra. E para uma ínfima minoria de privilegiados ela era um mecanismo de expansão e valorização do capital. </w:t>
      </w:r>
      <w:r w:rsidR="00BC0134">
        <w:t xml:space="preserve">Ao fim e ao cabo, </w:t>
      </w:r>
      <w:r w:rsidR="00A14D5A">
        <w:t>a inflação galopante</w:t>
      </w:r>
      <w:r w:rsidR="00817943">
        <w:t xml:space="preserve"> dos anos 80, que teve início no enfrentamento sindical </w:t>
      </w:r>
      <w:r w:rsidR="00BC0134">
        <w:t>da regulação ditatorial da distribuição</w:t>
      </w:r>
      <w:r w:rsidR="00817943">
        <w:t xml:space="preserve"> da renda, </w:t>
      </w:r>
      <w:r w:rsidR="00414864">
        <w:t xml:space="preserve">se </w:t>
      </w:r>
      <w:r w:rsidR="00817943">
        <w:t>revelou uma era de concentração acelerada no topo da pirâmide social. É o que revela o Quadro 2 reproduzido abaixo</w:t>
      </w:r>
      <w:r w:rsidR="00A14D5A">
        <w:t>.</w:t>
      </w:r>
    </w:p>
    <w:p w14:paraId="65A8C060" w14:textId="77777777" w:rsidR="0077738B" w:rsidRDefault="0077738B" w:rsidP="00310B39">
      <w:pPr>
        <w:spacing w:after="0"/>
        <w:jc w:val="center"/>
        <w:rPr>
          <w:b/>
        </w:rPr>
      </w:pPr>
    </w:p>
    <w:p w14:paraId="15E91033" w14:textId="77777777" w:rsidR="00414864" w:rsidRDefault="00414864" w:rsidP="002C0BE1">
      <w:pPr>
        <w:spacing w:after="0" w:line="240" w:lineRule="auto"/>
        <w:jc w:val="center"/>
        <w:rPr>
          <w:b/>
        </w:rPr>
      </w:pPr>
      <w:r w:rsidRPr="00225107">
        <w:rPr>
          <w:b/>
        </w:rPr>
        <w:t>Quadro 2</w:t>
      </w:r>
    </w:p>
    <w:p w14:paraId="291F2888" w14:textId="583ECB3F" w:rsidR="00DA43AA" w:rsidRDefault="003543BC" w:rsidP="002C0BE1">
      <w:pPr>
        <w:spacing w:after="0" w:line="240" w:lineRule="auto"/>
        <w:jc w:val="center"/>
        <w:rPr>
          <w:rFonts w:cs="Times New Roman"/>
          <w:b/>
        </w:rPr>
      </w:pPr>
      <w:r w:rsidRPr="003543BC">
        <w:rPr>
          <w:b/>
        </w:rPr>
        <w:t xml:space="preserve">Distribuição do </w:t>
      </w:r>
      <w:r w:rsidRPr="003543BC">
        <w:rPr>
          <w:rFonts w:cs="Times New Roman"/>
          <w:b/>
        </w:rPr>
        <w:t>Rendimento Mensal da População Ocupada no Brasil com mais de Dez Anos (PNAD - IBGE)</w:t>
      </w:r>
    </w:p>
    <w:p w14:paraId="2B629F22" w14:textId="77777777" w:rsidR="00DA43AA" w:rsidRPr="002C0BE1" w:rsidRDefault="00DA43AA" w:rsidP="002C0BE1">
      <w:pPr>
        <w:spacing w:after="0" w:line="240" w:lineRule="auto"/>
        <w:jc w:val="center"/>
        <w:rPr>
          <w:rFonts w:cs="Times New Roman"/>
          <w:b/>
          <w:sz w:val="20"/>
        </w:rPr>
      </w:pPr>
      <w:r w:rsidRPr="002C0BE1">
        <w:rPr>
          <w:noProof/>
          <w:sz w:val="20"/>
          <w:lang w:eastAsia="pt-BR"/>
        </w:rPr>
        <w:drawing>
          <wp:inline distT="0" distB="0" distL="0" distR="0" wp14:anchorId="2AEE0FAC" wp14:editId="09DBFC8D">
            <wp:extent cx="5270500" cy="876049"/>
            <wp:effectExtent l="19050" t="0" r="635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5270500" cy="876049"/>
                    </a:xfrm>
                    <a:prstGeom prst="rect">
                      <a:avLst/>
                    </a:prstGeom>
                    <a:noFill/>
                    <a:ln w="9525">
                      <a:noFill/>
                      <a:miter lim="800000"/>
                      <a:headEnd/>
                      <a:tailEnd/>
                    </a:ln>
                  </pic:spPr>
                </pic:pic>
              </a:graphicData>
            </a:graphic>
          </wp:inline>
        </w:drawing>
      </w:r>
    </w:p>
    <w:p w14:paraId="017F97E6" w14:textId="77777777" w:rsidR="003543BC" w:rsidRPr="002C0BE1" w:rsidRDefault="003543BC" w:rsidP="002C0BE1">
      <w:pPr>
        <w:spacing w:after="0" w:line="240" w:lineRule="auto"/>
        <w:jc w:val="center"/>
        <w:rPr>
          <w:rFonts w:cs="Times New Roman"/>
          <w:b/>
          <w:sz w:val="20"/>
        </w:rPr>
      </w:pPr>
      <w:r w:rsidRPr="002C0BE1">
        <w:rPr>
          <w:rFonts w:eastAsia="Times New Roman" w:cs="Times New Roman"/>
          <w:color w:val="000000"/>
          <w:sz w:val="20"/>
        </w:rPr>
        <w:t>Fonte: Lacerda, REP, 1994, p. 136</w:t>
      </w:r>
    </w:p>
    <w:p w14:paraId="16F2FD0B" w14:textId="583A5649" w:rsidR="007E02E9" w:rsidRDefault="00A87B4E" w:rsidP="0075563E">
      <w:pPr>
        <w:spacing w:beforeLines="100" w:before="240" w:afterLines="100"/>
        <w:ind w:firstLine="567"/>
      </w:pPr>
      <w:r>
        <w:t>O primeiro a observar no Quadro acima é que a concentração se realiza quase que exclusivamente em proveito do 1% mais rico da população cuja participação evolui</w:t>
      </w:r>
      <w:r w:rsidR="00225107">
        <w:t xml:space="preserve"> de 13% do total para 17,3% em 9</w:t>
      </w:r>
      <w:r>
        <w:t xml:space="preserve"> anos. Mesmo o estrato intermediário – aquele que fica entre os 50% mais pobres e os 10% mais ricos – sofrerá uma expressiva perda de participação </w:t>
      </w:r>
      <w:r w:rsidR="007E02E9">
        <w:t>(3,6%) na renda total,</w:t>
      </w:r>
      <w:r>
        <w:t xml:space="preserve"> passando de 40% para 36,4%. </w:t>
      </w:r>
      <w:r w:rsidR="007E02E9">
        <w:t>Se tomamos os 90% mais pobres – vale dizer, praticamente toda a população, exceto a elite –</w:t>
      </w:r>
      <w:r w:rsidR="00225107">
        <w:t xml:space="preserve"> a participação </w:t>
      </w:r>
      <w:proofErr w:type="spellStart"/>
      <w:r w:rsidR="00225107">
        <w:t>involuiu</w:t>
      </w:r>
      <w:proofErr w:type="spellEnd"/>
      <w:r w:rsidR="00225107">
        <w:t xml:space="preserve"> de pouco mais da metade da renda (53,4%) para pouco menos da metade (46,8%). </w:t>
      </w:r>
    </w:p>
    <w:p w14:paraId="02E2421A" w14:textId="77777777" w:rsidR="00E34DDB" w:rsidRDefault="00225107" w:rsidP="0075563E">
      <w:pPr>
        <w:spacing w:beforeLines="100" w:before="240" w:afterLines="100"/>
        <w:ind w:firstLine="567"/>
      </w:pPr>
      <w:r>
        <w:t xml:space="preserve">A percepção crítica que a população tem deste processo vai se manifestar com clareza nas eleições de 1989 e nos parece crucial para a compreensão do Plano Real e de sua oportunidade eleitoral em 1994. Não podemos ingressar neste ponto, contudo, sem observarmos um outro ponto: a evolução das contas externas no mesmo período. </w:t>
      </w:r>
    </w:p>
    <w:p w14:paraId="3D0E99C7" w14:textId="77777777" w:rsidR="00225107" w:rsidRDefault="00225107" w:rsidP="0077738B">
      <w:pPr>
        <w:pStyle w:val="Quadros"/>
      </w:pPr>
      <w:r w:rsidRPr="00225107">
        <w:t>Quadro 3</w:t>
      </w:r>
    </w:p>
    <w:p w14:paraId="742E3D93" w14:textId="77777777" w:rsidR="00DA43AA" w:rsidRPr="00225107" w:rsidRDefault="00DA43AA" w:rsidP="0077738B">
      <w:pPr>
        <w:pStyle w:val="Quadros"/>
      </w:pPr>
      <w:r w:rsidRPr="00DA43AA">
        <w:t xml:space="preserve">Evolução dos Saldos das Contas de Exportações e Importações e das Balanças Comercial, de Serviços e Rendas e de Transações Correntes do Brasil entre 1980 e 1989  </w:t>
      </w:r>
    </w:p>
    <w:p w14:paraId="2CFD1422" w14:textId="77777777" w:rsidR="00225107" w:rsidRDefault="00DA43AA" w:rsidP="0077738B">
      <w:pPr>
        <w:spacing w:after="0" w:line="240" w:lineRule="auto"/>
        <w:jc w:val="center"/>
      </w:pPr>
      <w:r w:rsidRPr="00DA43AA">
        <w:rPr>
          <w:noProof/>
          <w:lang w:eastAsia="pt-BR"/>
        </w:rPr>
        <w:lastRenderedPageBreak/>
        <w:drawing>
          <wp:inline distT="0" distB="0" distL="0" distR="0" wp14:anchorId="57745023" wp14:editId="24334148">
            <wp:extent cx="5270500" cy="2672811"/>
            <wp:effectExtent l="19050" t="0" r="6350" b="0"/>
            <wp:docPr id="4"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5270500" cy="2672811"/>
                    </a:xfrm>
                    <a:prstGeom prst="rect">
                      <a:avLst/>
                    </a:prstGeom>
                    <a:noFill/>
                    <a:ln w="9525">
                      <a:noFill/>
                      <a:miter lim="800000"/>
                      <a:headEnd/>
                      <a:tailEnd/>
                    </a:ln>
                  </pic:spPr>
                </pic:pic>
              </a:graphicData>
            </a:graphic>
          </wp:inline>
        </w:drawing>
      </w:r>
    </w:p>
    <w:p w14:paraId="03FA2D34" w14:textId="77777777" w:rsidR="00DA43AA" w:rsidRPr="002C0BE1" w:rsidRDefault="00DA43AA" w:rsidP="0077738B">
      <w:pPr>
        <w:spacing w:after="0" w:line="240" w:lineRule="auto"/>
        <w:jc w:val="center"/>
        <w:rPr>
          <w:sz w:val="20"/>
        </w:rPr>
      </w:pPr>
      <w:r w:rsidRPr="002C0BE1">
        <w:rPr>
          <w:sz w:val="20"/>
        </w:rPr>
        <w:t>Fonte dos Dados Brutos: Bacen, em http://www.bcb.gov.br/?SERIEBALPAGBPM5</w:t>
      </w:r>
    </w:p>
    <w:p w14:paraId="2FA4D6FE" w14:textId="7739DC29" w:rsidR="004B193D" w:rsidRDefault="002F3662" w:rsidP="0075563E">
      <w:pPr>
        <w:spacing w:beforeLines="100" w:before="240" w:afterLines="100"/>
        <w:ind w:firstLine="567"/>
      </w:pPr>
      <w:r>
        <w:tab/>
      </w:r>
      <w:r w:rsidR="00E34DDB">
        <w:t>Tal como havíamos comentado anteriormente, o conflito distributivo dos anos 80 não foi r</w:t>
      </w:r>
      <w:r w:rsidR="006509A3">
        <w:t>eaberto apenas pela retomada da</w:t>
      </w:r>
      <w:r w:rsidR="00E34DDB">
        <w:t xml:space="preserve"> ofensiva sindical</w:t>
      </w:r>
      <w:r w:rsidR="006509A3">
        <w:t>, mas</w:t>
      </w:r>
      <w:r w:rsidR="00E34DDB">
        <w:t xml:space="preserve">, igualmente bem, pela necessidade de gerar superávits comerciais expressivos em função da crise internacional de liquidez associada ao </w:t>
      </w:r>
      <w:proofErr w:type="spellStart"/>
      <w:r w:rsidR="00E34DDB">
        <w:rPr>
          <w:i/>
        </w:rPr>
        <w:t>Reaganomics</w:t>
      </w:r>
      <w:proofErr w:type="spellEnd"/>
      <w:r w:rsidR="00E34DDB">
        <w:t xml:space="preserve"> e ao default do México de 1982. E como o Quadro 3 revela, o governo foi extraordinariamente </w:t>
      </w:r>
      <w:proofErr w:type="gramStart"/>
      <w:r w:rsidR="00E34DDB">
        <w:t>bem sucedido</w:t>
      </w:r>
      <w:proofErr w:type="gramEnd"/>
      <w:r w:rsidR="00E34DDB">
        <w:t xml:space="preserve"> nesta tarefa, alcançando já em 1984 o primeiro superávit na Balança de Transações Correntes, que voltarão a emergir ao fim da década, quando o superávit comercial </w:t>
      </w:r>
      <w:proofErr w:type="spellStart"/>
      <w:r w:rsidR="00E34DDB">
        <w:t>estruturaliza-se</w:t>
      </w:r>
      <w:proofErr w:type="spellEnd"/>
      <w:r w:rsidR="00E34DDB">
        <w:t xml:space="preserve"> e supera de forma significativa o déficit da Balança de Serviços e Rendas. A importância de resgatar este ponto para o nosso argumento é dúplice. Em primeiro lugar </w:t>
      </w:r>
      <w:r w:rsidR="00E34DDB">
        <w:rPr>
          <w:b/>
        </w:rPr>
        <w:t>ele deixa claro a eficácia da ação pública</w:t>
      </w:r>
      <w:r w:rsidR="00E34DDB" w:rsidRPr="002813D0">
        <w:rPr>
          <w:b/>
        </w:rPr>
        <w:t xml:space="preserve"> na conquista de objetivos claramente definidos e priorizados e na gestão do conflito distributivo aberto nos 80 a favor d</w:t>
      </w:r>
      <w:r w:rsidR="00E34DDB">
        <w:rPr>
          <w:b/>
        </w:rPr>
        <w:t xml:space="preserve">e setores específicos (no caso, </w:t>
      </w:r>
      <w:r w:rsidR="00E34DDB" w:rsidRPr="002813D0">
        <w:rPr>
          <w:b/>
        </w:rPr>
        <w:t>os setores exportadores</w:t>
      </w:r>
      <w:r w:rsidR="00E34DDB">
        <w:rPr>
          <w:b/>
        </w:rPr>
        <w:t>)</w:t>
      </w:r>
      <w:r w:rsidR="00E34DDB" w:rsidRPr="002813D0">
        <w:rPr>
          <w:b/>
        </w:rPr>
        <w:t>.</w:t>
      </w:r>
      <w:r w:rsidR="00E34DDB">
        <w:t xml:space="preserve"> Em segundo lugar, ele deixa claro a sintonia e orquestração do Banco Central (responsável pela administração da taxa de juros e da taxa de câmbio) e dos Ministérios da Fazenda e demais órgãos da administração pública responsáveis pelo apoio e promoção da exportação da produção nacional. </w:t>
      </w:r>
      <w:r w:rsidR="00E34DDB">
        <w:rPr>
          <w:b/>
        </w:rPr>
        <w:t>Neste momento histórico</w:t>
      </w:r>
      <w:r w:rsidR="00E34DDB" w:rsidRPr="002813D0">
        <w:rPr>
          <w:b/>
        </w:rPr>
        <w:t xml:space="preserve"> não havia e nem podia h</w:t>
      </w:r>
      <w:r w:rsidR="00E34DDB">
        <w:rPr>
          <w:b/>
        </w:rPr>
        <w:t>aver qualquer autonomia do Banco</w:t>
      </w:r>
      <w:r w:rsidR="00E34DDB" w:rsidRPr="002813D0">
        <w:rPr>
          <w:b/>
        </w:rPr>
        <w:t xml:space="preserve"> Central</w:t>
      </w:r>
      <w:r w:rsidR="00E34DDB">
        <w:rPr>
          <w:b/>
        </w:rPr>
        <w:t xml:space="preserve"> frente ao Poder Executivo em Geral e frente aos órgãos responsáveis pela gestão Macroeconômica, pelas Políticas Distributivo-Salarial, Industrial e Comercial em particular. </w:t>
      </w:r>
      <w:r w:rsidR="00E34DDB">
        <w:t xml:space="preserve">Na percepção popular havia um Estado Leviatã que controlava juros, câmbio, correção monetária, salários, tributos (e, no limite, a própria inflação) e que distribuía de forma perversa o produto do trabalho em prol de uns poucos e em detrimento da maioria. Enquanto alguns operavam com moedas indexadas e a juros reais positivos, a grande maioria operava com moeda não indexada ou sub-indexada. Para estes agentes, a contratação é feita por um </w:t>
      </w:r>
      <w:r w:rsidR="00E34DDB">
        <w:lastRenderedPageBreak/>
        <w:t>determinado valor, e o pagamento é realizado por um valor inferior. Quão inferior? Não se sabe! A cada ano, a cada pacote, o logro aumenta. E não se trata de retórica: para que a concentração de renda se desse como se deu a espiral inflacionária teria que ser ascendente. Como de fato foi ao longo dos anos 80</w:t>
      </w:r>
      <w:r w:rsidR="00E34DDB">
        <w:rPr>
          <w:rStyle w:val="Refdenotaderodap"/>
        </w:rPr>
        <w:footnoteReference w:id="17"/>
      </w:r>
      <w:r w:rsidR="00E34DDB">
        <w:t>. O que se desdobrava na crescente erosão da confiança sobre as lideranças e agremiações partidárias que participaram da condução da economia durante a Nova República</w:t>
      </w:r>
    </w:p>
    <w:p w14:paraId="61D8A377" w14:textId="77777777" w:rsidR="00414864" w:rsidRDefault="005F2DA5" w:rsidP="0075563E">
      <w:pPr>
        <w:spacing w:beforeLines="100" w:before="240" w:afterLines="100"/>
        <w:ind w:firstLine="567"/>
      </w:pPr>
      <w:r>
        <w:t xml:space="preserve">A eleição presidencial de 1989 vai traduzir </w:t>
      </w:r>
      <w:r w:rsidR="00D11067">
        <w:t xml:space="preserve">esta ampla descrença com os partidos da ordem. </w:t>
      </w:r>
      <w:r w:rsidR="0031772C">
        <w:t xml:space="preserve">Com amplo apoio da mídia, Collor será eleito no segundo turno. </w:t>
      </w:r>
      <w:r w:rsidR="00F46E6C">
        <w:t xml:space="preserve">E o início do novo governo será marcado por um plano de combate à inflação extraordinariamente radical, </w:t>
      </w:r>
      <w:r w:rsidR="0080677E">
        <w:t>com amplo e universal sequestro de liquidez da ec</w:t>
      </w:r>
      <w:r w:rsidR="00F3190F">
        <w:t xml:space="preserve">onomia. Não obstante, se tomamos como parâmetro as expectativas geradas na população, este será o plano mais frustrante e </w:t>
      </w:r>
      <w:proofErr w:type="gramStart"/>
      <w:r w:rsidR="00F3190F">
        <w:t>mal sucedido</w:t>
      </w:r>
      <w:proofErr w:type="gramEnd"/>
      <w:r w:rsidR="00F3190F">
        <w:t xml:space="preserve"> dentre todos desde o Cruzado. Havendo sido lançado em 16 de março de 1990, apenas um dia ap</w:t>
      </w:r>
      <w:r w:rsidR="00AE3D8C">
        <w:t xml:space="preserve">ós a posse de Collor de Mello, a inflação do mês de abril </w:t>
      </w:r>
      <w:r w:rsidR="00F3190F">
        <w:t xml:space="preserve">já </w:t>
      </w:r>
      <w:r w:rsidR="00AE3D8C">
        <w:t xml:space="preserve">atingia </w:t>
      </w:r>
      <w:r w:rsidR="005629CF">
        <w:t>15,52%. E</w:t>
      </w:r>
      <w:r w:rsidR="001C3B1F">
        <w:t xml:space="preserve">la sofrerá uma pequena queda </w:t>
      </w:r>
      <w:r w:rsidR="00AE3D8C">
        <w:t xml:space="preserve">nos meses seguintes, </w:t>
      </w:r>
      <w:r w:rsidR="00412077">
        <w:t xml:space="preserve">mas </w:t>
      </w:r>
      <w:r w:rsidR="001C3B1F">
        <w:t>logo voltar</w:t>
      </w:r>
      <w:r w:rsidR="00AE3D8C">
        <w:t>á</w:t>
      </w:r>
      <w:r w:rsidR="001C3B1F">
        <w:t xml:space="preserve"> a se elevar, fechando o ano em 1620,96%</w:t>
      </w:r>
      <w:r w:rsidR="00B37598">
        <w:rPr>
          <w:rStyle w:val="Refdenotaderodap"/>
        </w:rPr>
        <w:footnoteReference w:id="18"/>
      </w:r>
      <w:r w:rsidR="00AE3D8C">
        <w:t xml:space="preserve">. </w:t>
      </w:r>
      <w:r w:rsidR="00412077">
        <w:t>Como se</w:t>
      </w:r>
      <w:r w:rsidR="00AE3D8C">
        <w:t xml:space="preserve"> não bastasse</w:t>
      </w:r>
      <w:r w:rsidR="00412077">
        <w:t xml:space="preserve"> </w:t>
      </w:r>
      <w:r w:rsidR="007460C5">
        <w:t xml:space="preserve">o fracasso de seu plano anti-inflacionário, </w:t>
      </w:r>
      <w:r w:rsidR="00412077">
        <w:t>um conjunto de denúncias</w:t>
      </w:r>
      <w:r w:rsidR="002C6AC2">
        <w:t xml:space="preserve"> de corrupção</w:t>
      </w:r>
      <w:r w:rsidR="00AE3D8C">
        <w:t xml:space="preserve"> </w:t>
      </w:r>
      <w:r w:rsidR="007C65D6">
        <w:t>virá à tona em 1991. Confirmado</w:t>
      </w:r>
      <w:r w:rsidR="007460C5">
        <w:t xml:space="preserve"> pelo testemunho do</w:t>
      </w:r>
      <w:r w:rsidR="00412077">
        <w:t xml:space="preserve"> irmão do Presidente </w:t>
      </w:r>
      <w:r w:rsidR="00AE3D8C">
        <w:t>no início de 1992, levarão ao seu</w:t>
      </w:r>
      <w:r w:rsidR="002C6AC2">
        <w:t xml:space="preserve"> </w:t>
      </w:r>
      <w:r w:rsidR="002C6AC2" w:rsidRPr="002C6AC2">
        <w:rPr>
          <w:i/>
        </w:rPr>
        <w:t>impeachment</w:t>
      </w:r>
      <w:r w:rsidR="001C3B1F">
        <w:t xml:space="preserve">, </w:t>
      </w:r>
      <w:r w:rsidR="00AE3D8C">
        <w:t xml:space="preserve">alavancando </w:t>
      </w:r>
      <w:r w:rsidR="00412077">
        <w:t>o apelo</w:t>
      </w:r>
      <w:r w:rsidR="002C6AC2">
        <w:t xml:space="preserve"> </w:t>
      </w:r>
      <w:r w:rsidR="00412077">
        <w:t>de uma ruptura pela esquerda</w:t>
      </w:r>
      <w:r w:rsidR="00BB7DF3">
        <w:t xml:space="preserve">. No início de 1994 – ano </w:t>
      </w:r>
      <w:r w:rsidR="00412077">
        <w:t>de</w:t>
      </w:r>
      <w:r w:rsidR="00BB7DF3">
        <w:t xml:space="preserve"> novas eleições presidenciais – L</w:t>
      </w:r>
      <w:r w:rsidR="00AE3D8C">
        <w:t>ula tinha</w:t>
      </w:r>
      <w:r w:rsidR="008D221A">
        <w:t xml:space="preserve"> 40% de intenção de voto, o que lhe garantiria vitória no primeiro turno </w:t>
      </w:r>
      <w:r w:rsidR="006509A3">
        <w:t>(Mendes e Venturi, 1994, p. 59)</w:t>
      </w:r>
      <w:r w:rsidR="008D221A">
        <w:t xml:space="preserve">. </w:t>
      </w:r>
    </w:p>
    <w:p w14:paraId="4F03FA39" w14:textId="44B91681" w:rsidR="00246E28" w:rsidRPr="00756845" w:rsidRDefault="00A14D5A" w:rsidP="0075563E">
      <w:pPr>
        <w:spacing w:beforeLines="100" w:before="240" w:afterLines="100"/>
        <w:ind w:firstLine="567"/>
      </w:pPr>
      <w:r>
        <w:t xml:space="preserve"> </w:t>
      </w:r>
      <w:r w:rsidR="007460C5">
        <w:t>A queda de Collor de Mello e a posse de seu vice, Itamar Franco abri</w:t>
      </w:r>
      <w:r w:rsidR="002840F5">
        <w:t>u</w:t>
      </w:r>
      <w:r w:rsidR="007460C5">
        <w:t>, contudo, uma janela de opo</w:t>
      </w:r>
      <w:r w:rsidR="00070D40">
        <w:t xml:space="preserve">rtunidade para a construção de uma verdadeira alternativa </w:t>
      </w:r>
      <w:r w:rsidR="006C3208">
        <w:t>el</w:t>
      </w:r>
      <w:r w:rsidR="001C30C3">
        <w:t>eitoral não-radical e modernizadora</w:t>
      </w:r>
      <w:r w:rsidR="007460C5">
        <w:t xml:space="preserve">. E isto por três motivos. Em primeiro lugar porque a partir de 1989 ficara evidente que a vitória da esquerda se daria dentro em pouco </w:t>
      </w:r>
      <w:r w:rsidR="006C3208">
        <w:t xml:space="preserve">no país </w:t>
      </w:r>
      <w:r w:rsidR="007460C5">
        <w:t xml:space="preserve">e </w:t>
      </w:r>
      <w:r w:rsidR="006C3208">
        <w:t xml:space="preserve">que </w:t>
      </w:r>
      <w:r w:rsidR="007460C5">
        <w:t xml:space="preserve">suas </w:t>
      </w:r>
      <w:r w:rsidR="006C3208">
        <w:t>consequências seriam no mínimo indeterminadas</w:t>
      </w:r>
      <w:r w:rsidR="007460C5">
        <w:t>,</w:t>
      </w:r>
      <w:r w:rsidR="00070D40">
        <w:t xml:space="preserve"> uma vez que o Estado brasileiro, até então, funcionava, de fato, como um Leviatã com autoridade e discricionariedade ímpar. </w:t>
      </w:r>
      <w:r w:rsidR="00272D58" w:rsidRPr="00E1257B">
        <w:rPr>
          <w:b/>
        </w:rPr>
        <w:t>Mais do que nunca, parcela expressiv</w:t>
      </w:r>
      <w:r w:rsidR="001C30C3">
        <w:rPr>
          <w:b/>
        </w:rPr>
        <w:t>a da elite dominante</w:t>
      </w:r>
      <w:r w:rsidR="00272D58" w:rsidRPr="00E1257B">
        <w:rPr>
          <w:b/>
        </w:rPr>
        <w:t xml:space="preserve"> compreendia a necessidade de conceder alguns ané</w:t>
      </w:r>
      <w:r w:rsidR="0016298E" w:rsidRPr="00E1257B">
        <w:rPr>
          <w:b/>
        </w:rPr>
        <w:t>i</w:t>
      </w:r>
      <w:r w:rsidR="00272D58" w:rsidRPr="00E1257B">
        <w:rPr>
          <w:b/>
        </w:rPr>
        <w:t xml:space="preserve">s em </w:t>
      </w:r>
      <w:r w:rsidR="0016298E" w:rsidRPr="00E1257B">
        <w:rPr>
          <w:b/>
        </w:rPr>
        <w:t>troca da integridade dos dedos.</w:t>
      </w:r>
      <w:r w:rsidR="0016298E">
        <w:t xml:space="preserve"> Em segundo lugar porque a inflação crônica não</w:t>
      </w:r>
      <w:r w:rsidR="006C3208">
        <w:t xml:space="preserve"> </w:t>
      </w:r>
      <w:r w:rsidR="006C3208">
        <w:lastRenderedPageBreak/>
        <w:t>alavanca</w:t>
      </w:r>
      <w:r w:rsidR="001C30C3">
        <w:t xml:space="preserve">va primordialmente a crítica radical à ordem, mas </w:t>
      </w:r>
      <w:r w:rsidR="0016298E">
        <w:t xml:space="preserve">a crítica à desigualdade contratual, ao fato de que alguns são mais cidadãos (pois se utilizam de </w:t>
      </w:r>
      <w:r w:rsidR="0016298E" w:rsidRPr="001C30C3">
        <w:rPr>
          <w:b/>
        </w:rPr>
        <w:t>dinheiro</w:t>
      </w:r>
      <w:r w:rsidR="0016298E">
        <w:t>) do que outros (que se utilizam de</w:t>
      </w:r>
      <w:r w:rsidR="00E1257B">
        <w:t xml:space="preserve"> </w:t>
      </w:r>
      <w:r w:rsidR="00E1257B" w:rsidRPr="001C30C3">
        <w:rPr>
          <w:b/>
        </w:rPr>
        <w:t>moeda</w:t>
      </w:r>
      <w:r w:rsidR="00E1257B">
        <w:t xml:space="preserve"> </w:t>
      </w:r>
      <w:r w:rsidR="00E1257B" w:rsidRPr="001C30C3">
        <w:rPr>
          <w:b/>
        </w:rPr>
        <w:t>não</w:t>
      </w:r>
      <w:r w:rsidR="00E1257B">
        <w:t xml:space="preserve"> </w:t>
      </w:r>
      <w:r w:rsidR="00E1257B" w:rsidRPr="001C30C3">
        <w:rPr>
          <w:b/>
        </w:rPr>
        <w:t>indexada</w:t>
      </w:r>
      <w:r w:rsidR="00E1257B">
        <w:t>)</w:t>
      </w:r>
      <w:r w:rsidR="006C3208">
        <w:t xml:space="preserve">. </w:t>
      </w:r>
      <w:r w:rsidR="001C30C3" w:rsidRPr="001C30C3">
        <w:rPr>
          <w:b/>
        </w:rPr>
        <w:t>Aqueles</w:t>
      </w:r>
      <w:r w:rsidR="001C30C3">
        <w:t xml:space="preserve"> </w:t>
      </w:r>
      <w:r w:rsidR="001C30C3" w:rsidRPr="001C30C3">
        <w:rPr>
          <w:b/>
        </w:rPr>
        <w:t>que</w:t>
      </w:r>
      <w:r w:rsidR="001C30C3">
        <w:t xml:space="preserve"> </w:t>
      </w:r>
      <w:r w:rsidR="006C3208" w:rsidRPr="006C3208">
        <w:rPr>
          <w:b/>
        </w:rPr>
        <w:t>alcançasse</w:t>
      </w:r>
      <w:r w:rsidR="001C30C3">
        <w:rPr>
          <w:b/>
        </w:rPr>
        <w:t>m</w:t>
      </w:r>
      <w:r w:rsidR="006C3208" w:rsidRPr="006C3208">
        <w:rPr>
          <w:b/>
        </w:rPr>
        <w:t xml:space="preserve"> construir um</w:t>
      </w:r>
      <w:r w:rsidR="006C3208">
        <w:rPr>
          <w:b/>
        </w:rPr>
        <w:t xml:space="preserve"> </w:t>
      </w:r>
      <w:r w:rsidR="00E1257B" w:rsidRPr="006C3208">
        <w:rPr>
          <w:b/>
        </w:rPr>
        <w:t>programa</w:t>
      </w:r>
      <w:r w:rsidR="006C3208" w:rsidRPr="006C3208">
        <w:rPr>
          <w:b/>
        </w:rPr>
        <w:t xml:space="preserve"> de universalização da cidadania elementar</w:t>
      </w:r>
      <w:r w:rsidR="00E1257B" w:rsidRPr="006C3208">
        <w:rPr>
          <w:b/>
        </w:rPr>
        <w:t xml:space="preserve"> teria</w:t>
      </w:r>
      <w:r w:rsidR="001C30C3">
        <w:rPr>
          <w:b/>
        </w:rPr>
        <w:t>m</w:t>
      </w:r>
      <w:r w:rsidR="0016298E" w:rsidRPr="006C3208">
        <w:rPr>
          <w:b/>
        </w:rPr>
        <w:t xml:space="preserve"> o apoio da maioria dos descontentes</w:t>
      </w:r>
      <w:r w:rsidR="006C3208">
        <w:rPr>
          <w:b/>
        </w:rPr>
        <w:t xml:space="preserve"> no país</w:t>
      </w:r>
      <w:r w:rsidR="0016298E" w:rsidRPr="006C3208">
        <w:rPr>
          <w:b/>
        </w:rPr>
        <w:t>. E se o “c</w:t>
      </w:r>
      <w:r w:rsidR="00E1257B" w:rsidRPr="006C3208">
        <w:rPr>
          <w:b/>
        </w:rPr>
        <w:t>entrismo modernizante” pudesse</w:t>
      </w:r>
      <w:r w:rsidR="0016298E" w:rsidRPr="006C3208">
        <w:rPr>
          <w:b/>
        </w:rPr>
        <w:t xml:space="preserve"> oferecer de fato</w:t>
      </w:r>
      <w:r w:rsidR="00E1257B" w:rsidRPr="006C3208">
        <w:rPr>
          <w:b/>
        </w:rPr>
        <w:t xml:space="preserve"> um tal programa ele poderia</w:t>
      </w:r>
      <w:r w:rsidR="001C30C3">
        <w:rPr>
          <w:b/>
        </w:rPr>
        <w:t xml:space="preserve"> retardar</w:t>
      </w:r>
      <w:r w:rsidR="00756845" w:rsidRPr="006C3208">
        <w:rPr>
          <w:b/>
        </w:rPr>
        <w:t xml:space="preserve"> a vitória da esquerda</w:t>
      </w:r>
      <w:r w:rsidR="0016298E" w:rsidRPr="006C3208">
        <w:rPr>
          <w:b/>
        </w:rPr>
        <w:t xml:space="preserve"> até desidratar suficientemente o Estado Leviatã, tornando-o</w:t>
      </w:r>
      <w:r w:rsidR="007A67FE" w:rsidRPr="006C3208">
        <w:rPr>
          <w:b/>
        </w:rPr>
        <w:t xml:space="preserve"> suficientemente “moderno” pa</w:t>
      </w:r>
      <w:r w:rsidR="00E1257B" w:rsidRPr="006C3208">
        <w:rPr>
          <w:b/>
        </w:rPr>
        <w:t xml:space="preserve">ra permitir que a esquerda tomasse o </w:t>
      </w:r>
      <w:r w:rsidR="001C30C3">
        <w:rPr>
          <w:b/>
        </w:rPr>
        <w:t>“</w:t>
      </w:r>
      <w:r w:rsidR="00E1257B" w:rsidRPr="006C3208">
        <w:rPr>
          <w:b/>
        </w:rPr>
        <w:t>poder</w:t>
      </w:r>
      <w:r w:rsidR="001C30C3">
        <w:rPr>
          <w:b/>
        </w:rPr>
        <w:t>”</w:t>
      </w:r>
      <w:r w:rsidR="007A67FE" w:rsidRPr="006C3208">
        <w:rPr>
          <w:b/>
        </w:rPr>
        <w:t xml:space="preserve"> s</w:t>
      </w:r>
      <w:r w:rsidR="00E1257B" w:rsidRPr="006C3208">
        <w:rPr>
          <w:b/>
        </w:rPr>
        <w:t xml:space="preserve">em qualquer </w:t>
      </w:r>
      <w:r w:rsidR="007A67FE" w:rsidRPr="006C3208">
        <w:rPr>
          <w:b/>
        </w:rPr>
        <w:t>perigo institucional</w:t>
      </w:r>
      <w:r w:rsidR="00756845" w:rsidRPr="006C3208">
        <w:rPr>
          <w:b/>
        </w:rPr>
        <w:t xml:space="preserve">. </w:t>
      </w:r>
      <w:r w:rsidR="00E1257B" w:rsidRPr="006C3208">
        <w:rPr>
          <w:b/>
        </w:rPr>
        <w:t>E esta era</w:t>
      </w:r>
      <w:r w:rsidR="007A67FE" w:rsidRPr="006C3208">
        <w:rPr>
          <w:b/>
        </w:rPr>
        <w:t xml:space="preserve"> uma possibilidade real, pois </w:t>
      </w:r>
      <w:r w:rsidR="00756845" w:rsidRPr="006C3208">
        <w:rPr>
          <w:b/>
        </w:rPr>
        <w:t xml:space="preserve">a esquerda não </w:t>
      </w:r>
      <w:r w:rsidR="009F7940" w:rsidRPr="006C3208">
        <w:rPr>
          <w:b/>
        </w:rPr>
        <w:t xml:space="preserve">havia </w:t>
      </w:r>
      <w:r w:rsidR="00756845" w:rsidRPr="006C3208">
        <w:rPr>
          <w:b/>
        </w:rPr>
        <w:t>alcança</w:t>
      </w:r>
      <w:r w:rsidR="009F7940" w:rsidRPr="006C3208">
        <w:rPr>
          <w:b/>
        </w:rPr>
        <w:t>do</w:t>
      </w:r>
      <w:r w:rsidR="00756845" w:rsidRPr="006C3208">
        <w:rPr>
          <w:b/>
        </w:rPr>
        <w:t xml:space="preserve"> produzir </w:t>
      </w:r>
      <w:r w:rsidR="00E96747" w:rsidRPr="006C3208">
        <w:rPr>
          <w:b/>
        </w:rPr>
        <w:t xml:space="preserve">e oferecer à sociedade </w:t>
      </w:r>
      <w:r w:rsidR="00756845" w:rsidRPr="006C3208">
        <w:rPr>
          <w:b/>
        </w:rPr>
        <w:t xml:space="preserve">qualquer </w:t>
      </w:r>
      <w:r w:rsidR="00E96747" w:rsidRPr="006C3208">
        <w:rPr>
          <w:b/>
        </w:rPr>
        <w:t xml:space="preserve">esboço de </w:t>
      </w:r>
      <w:r w:rsidR="00756845" w:rsidRPr="006C3208">
        <w:rPr>
          <w:b/>
        </w:rPr>
        <w:t xml:space="preserve">projeto de combate a </w:t>
      </w:r>
      <w:r w:rsidR="009F7940" w:rsidRPr="006C3208">
        <w:rPr>
          <w:b/>
        </w:rPr>
        <w:t>inflação</w:t>
      </w:r>
      <w:r w:rsidR="009F7940" w:rsidRPr="006C3208">
        <w:rPr>
          <w:rStyle w:val="Refdenotaderodap"/>
          <w:b/>
        </w:rPr>
        <w:footnoteReference w:id="19"/>
      </w:r>
      <w:r w:rsidR="009F7940">
        <w:t xml:space="preserve">. </w:t>
      </w:r>
      <w:r w:rsidR="007A67FE">
        <w:t>Por fim, e em terceiro lugar, a q</w:t>
      </w:r>
      <w:r w:rsidR="00E1257B">
        <w:t>ueda de Collor deu-se</w:t>
      </w:r>
      <w:r w:rsidR="00E92642">
        <w:t xml:space="preserve"> numa conjuntura em que o conflito distributivo </w:t>
      </w:r>
      <w:r w:rsidR="00E92642" w:rsidRPr="006C3208">
        <w:rPr>
          <w:b/>
        </w:rPr>
        <w:t>externo</w:t>
      </w:r>
      <w:r w:rsidR="00E92642">
        <w:t xml:space="preserve"> – caracterizado pela exclusão do Brasil do circuito financeiro internacional e pela </w:t>
      </w:r>
      <w:r w:rsidR="00E1257B">
        <w:t xml:space="preserve">consequente </w:t>
      </w:r>
      <w:r w:rsidR="00E92642">
        <w:t>necessidade de gerar significativos superávits comerciais para cobrir integralmente seu déficit na conta serviços e renda –</w:t>
      </w:r>
      <w:r w:rsidR="00E1257B">
        <w:t xml:space="preserve"> dava</w:t>
      </w:r>
      <w:r w:rsidR="000A306A">
        <w:t xml:space="preserve"> sinais de superação, abrindo espaço para um</w:t>
      </w:r>
      <w:r w:rsidR="00E1257B">
        <w:t xml:space="preserve"> padrão efetivamente inovador de</w:t>
      </w:r>
      <w:r w:rsidR="000A306A">
        <w:t xml:space="preserve"> enfrentamento do conflito </w:t>
      </w:r>
      <w:r w:rsidR="00E1257B">
        <w:t xml:space="preserve">distributivo </w:t>
      </w:r>
      <w:r w:rsidR="000A306A" w:rsidRPr="006C3208">
        <w:rPr>
          <w:b/>
        </w:rPr>
        <w:t>interno</w:t>
      </w:r>
      <w:r w:rsidR="00E92642">
        <w:t>. Seja em função de seus continuados e robustos superávits comerc</w:t>
      </w:r>
      <w:r w:rsidR="00E1257B">
        <w:t>iais, seja em função da flexibilização d</w:t>
      </w:r>
      <w:r w:rsidR="00E92642">
        <w:t xml:space="preserve">a política do </w:t>
      </w:r>
      <w:r w:rsidR="000A306A">
        <w:t>FED</w:t>
      </w:r>
      <w:r w:rsidR="001A05B3">
        <w:t xml:space="preserve"> (que cumpre as funções de Banco Central Norte-Americano)</w:t>
      </w:r>
      <w:r w:rsidR="000A306A">
        <w:t xml:space="preserve"> após a eleição de Clinton, nos primeiros ano</w:t>
      </w:r>
      <w:r w:rsidR="006C3208">
        <w:t>s da década de 90</w:t>
      </w:r>
      <w:r w:rsidR="001A05B3">
        <w:t>,</w:t>
      </w:r>
      <w:r w:rsidR="006C3208">
        <w:t xml:space="preserve"> o Brasil passou</w:t>
      </w:r>
      <w:r w:rsidR="000A306A">
        <w:t xml:space="preserve"> a acumular reservas crescentes e a </w:t>
      </w:r>
      <w:r w:rsidR="00E1257B">
        <w:t>se deparar com maior disponibilidade de financiamento</w:t>
      </w:r>
      <w:r w:rsidR="006C3208">
        <w:t xml:space="preserve"> internacional</w:t>
      </w:r>
      <w:r w:rsidR="00E1257B">
        <w:t>, apresentando</w:t>
      </w:r>
      <w:r w:rsidR="000A306A">
        <w:t xml:space="preserve"> todas as condições para ingressar no “mundo Mundell-Fleming”</w:t>
      </w:r>
      <w:r w:rsidR="00E1257B">
        <w:rPr>
          <w:rStyle w:val="Refdenotaderodap"/>
        </w:rPr>
        <w:footnoteReference w:id="20"/>
      </w:r>
      <w:r w:rsidR="000A306A">
        <w:t>,</w:t>
      </w:r>
      <w:r w:rsidR="00E1257B">
        <w:t xml:space="preserve"> se alcançasse</w:t>
      </w:r>
      <w:r w:rsidR="000A306A">
        <w:t xml:space="preserve"> romper </w:t>
      </w:r>
      <w:r w:rsidR="00E1257B">
        <w:t xml:space="preserve">com a hiperinflação. </w:t>
      </w:r>
    </w:p>
    <w:p w14:paraId="66A34F6C" w14:textId="0E367FF8" w:rsidR="00EE6D68" w:rsidRDefault="001C30C3" w:rsidP="0075563E">
      <w:pPr>
        <w:spacing w:beforeLines="100" w:before="240" w:afterLines="100"/>
        <w:ind w:firstLine="567"/>
      </w:pPr>
      <w:r>
        <w:t>Assim, d</w:t>
      </w:r>
      <w:r w:rsidR="00D315E2">
        <w:t>urante 1993 e a primeira metade de 1994</w:t>
      </w:r>
      <w:r w:rsidR="009058B5">
        <w:t>,</w:t>
      </w:r>
      <w:r w:rsidR="00D315E2">
        <w:t xml:space="preserve"> </w:t>
      </w:r>
      <w:r w:rsidR="001A05B3">
        <w:t>foi</w:t>
      </w:r>
      <w:r w:rsidR="009058B5">
        <w:t xml:space="preserve"> montada uma força tarefa com alguns dos mais brilhantes economistas brasileiros de inflexão modernizante-conservadora para a construção e implantação </w:t>
      </w:r>
      <w:r w:rsidR="00D315E2">
        <w:t>do</w:t>
      </w:r>
      <w:r w:rsidR="00D8727F">
        <w:t xml:space="preserve"> Plano Real. A literatura sobre</w:t>
      </w:r>
      <w:r w:rsidR="00DE4B7B">
        <w:t xml:space="preserve"> </w:t>
      </w:r>
      <w:r w:rsidR="00D315E2">
        <w:t xml:space="preserve">estas medidas é vasta e não </w:t>
      </w:r>
      <w:r w:rsidR="006644CD">
        <w:t xml:space="preserve">cabe </w:t>
      </w:r>
      <w:r w:rsidR="00D8727F">
        <w:t xml:space="preserve">reproduzi-la. Nosso objetivo é distinto. Queremos chamar a atenção para a dimensão de </w:t>
      </w:r>
      <w:r w:rsidR="0022172B">
        <w:rPr>
          <w:b/>
        </w:rPr>
        <w:t>r</w:t>
      </w:r>
      <w:r w:rsidR="00D8727F" w:rsidRPr="00D8727F">
        <w:rPr>
          <w:b/>
        </w:rPr>
        <w:t xml:space="preserve">eengenharia </w:t>
      </w:r>
      <w:r w:rsidR="0022172B">
        <w:rPr>
          <w:b/>
        </w:rPr>
        <w:t>p</w:t>
      </w:r>
      <w:r w:rsidR="00D8727F" w:rsidRPr="00D8727F">
        <w:rPr>
          <w:b/>
        </w:rPr>
        <w:t>olítica</w:t>
      </w:r>
      <w:r w:rsidR="009058B5">
        <w:rPr>
          <w:b/>
        </w:rPr>
        <w:t xml:space="preserve"> e de </w:t>
      </w:r>
      <w:r w:rsidR="0022172B">
        <w:rPr>
          <w:b/>
        </w:rPr>
        <w:t>p</w:t>
      </w:r>
      <w:r w:rsidR="009058B5">
        <w:rPr>
          <w:b/>
        </w:rPr>
        <w:t xml:space="preserve">acto </w:t>
      </w:r>
      <w:r w:rsidR="0022172B">
        <w:rPr>
          <w:b/>
        </w:rPr>
        <w:t>s</w:t>
      </w:r>
      <w:r w:rsidR="009058B5">
        <w:rPr>
          <w:b/>
        </w:rPr>
        <w:t>ocial do Plano</w:t>
      </w:r>
      <w:r w:rsidR="00D8727F" w:rsidRPr="00D8727F">
        <w:rPr>
          <w:b/>
        </w:rPr>
        <w:t xml:space="preserve">, que levou a um verdadeiro redesenho do formato e funções do </w:t>
      </w:r>
      <w:r w:rsidR="009058B5">
        <w:rPr>
          <w:b/>
        </w:rPr>
        <w:t>Estado Brasileiro ao longo dos oito</w:t>
      </w:r>
      <w:r w:rsidR="00D8727F" w:rsidRPr="00D8727F">
        <w:rPr>
          <w:b/>
        </w:rPr>
        <w:t xml:space="preserve"> anos de gestão de F</w:t>
      </w:r>
      <w:r w:rsidR="0022172B">
        <w:rPr>
          <w:b/>
        </w:rPr>
        <w:t>HC</w:t>
      </w:r>
      <w:r w:rsidR="00D8727F" w:rsidRPr="00D8727F">
        <w:rPr>
          <w:b/>
        </w:rPr>
        <w:t>.</w:t>
      </w:r>
      <w:r w:rsidR="00D8727F">
        <w:t xml:space="preserve"> </w:t>
      </w:r>
    </w:p>
    <w:p w14:paraId="222ABF99" w14:textId="06C627CB" w:rsidR="005C31F0" w:rsidRPr="005C31F0" w:rsidRDefault="00EE6D68" w:rsidP="0075563E">
      <w:pPr>
        <w:spacing w:beforeLines="100" w:before="240" w:afterLines="100"/>
        <w:ind w:firstLine="567"/>
      </w:pPr>
      <w:r w:rsidRPr="004B7DF1">
        <w:rPr>
          <w:b/>
        </w:rPr>
        <w:lastRenderedPageBreak/>
        <w:t>O fundamento primeiro do Pacto-Pla</w:t>
      </w:r>
      <w:r w:rsidR="001A05B3">
        <w:rPr>
          <w:b/>
        </w:rPr>
        <w:t>no Real é a unificação da moeda e do dinheiro nacionais</w:t>
      </w:r>
      <w:r w:rsidRPr="004B7DF1">
        <w:rPr>
          <w:b/>
        </w:rPr>
        <w:t xml:space="preserve"> </w:t>
      </w:r>
      <w:r w:rsidR="001048C8">
        <w:rPr>
          <w:b/>
        </w:rPr>
        <w:t xml:space="preserve">(Paiva, 2004) </w:t>
      </w:r>
      <w:r>
        <w:t xml:space="preserve">a partir da </w:t>
      </w:r>
      <w:proofErr w:type="spellStart"/>
      <w:r>
        <w:t>referenciação</w:t>
      </w:r>
      <w:proofErr w:type="spellEnd"/>
      <w:r>
        <w:t xml:space="preserve"> inicial no dólar </w:t>
      </w:r>
      <w:r w:rsidR="006644CD">
        <w:t xml:space="preserve">(via URV) </w:t>
      </w:r>
      <w:r>
        <w:t>como unidade de conta e posterior abandono do mesmo</w:t>
      </w:r>
      <w:r w:rsidR="009058B5">
        <w:t>,</w:t>
      </w:r>
      <w:r>
        <w:t xml:space="preserve"> deixando </w:t>
      </w:r>
      <w:r w:rsidRPr="009058B5">
        <w:rPr>
          <w:b/>
        </w:rPr>
        <w:t>o re</w:t>
      </w:r>
      <w:r w:rsidR="006644CD" w:rsidRPr="009058B5">
        <w:rPr>
          <w:b/>
        </w:rPr>
        <w:t>al se valorizar acima do próprio dinheiro mundial</w:t>
      </w:r>
      <w:r>
        <w:t xml:space="preserve">. </w:t>
      </w:r>
      <w:r w:rsidR="005C31F0">
        <w:t>Esta era a condição necessária (e suficiente, na medida em q</w:t>
      </w:r>
      <w:r w:rsidR="006644CD">
        <w:t>ue o PT se recusou a assumir o Pacto-P</w:t>
      </w:r>
      <w:r w:rsidR="005C31F0">
        <w:t>lano no momento de seu lançamento) para a vi</w:t>
      </w:r>
      <w:r w:rsidR="006644CD">
        <w:t>tória</w:t>
      </w:r>
      <w:r w:rsidR="005C31F0">
        <w:t xml:space="preserve"> eleitoral </w:t>
      </w:r>
      <w:r w:rsidR="001F7B89">
        <w:t xml:space="preserve">de </w:t>
      </w:r>
      <w:r w:rsidR="001048C8">
        <w:t>FHC</w:t>
      </w:r>
      <w:r w:rsidR="001F7B89">
        <w:t xml:space="preserve"> </w:t>
      </w:r>
      <w:r w:rsidR="005C31F0">
        <w:t xml:space="preserve">em 1994. E </w:t>
      </w:r>
      <w:r w:rsidR="005C31F0" w:rsidRPr="009058B5">
        <w:rPr>
          <w:b/>
        </w:rPr>
        <w:t>a manutenção</w:t>
      </w:r>
      <w:r w:rsidR="006644CD" w:rsidRPr="009058B5">
        <w:rPr>
          <w:b/>
        </w:rPr>
        <w:t xml:space="preserve"> de uma moeda nacional com funções de dinheiro passou a ser um elemento pactuado para o futur</w:t>
      </w:r>
      <w:r w:rsidR="009058B5">
        <w:rPr>
          <w:b/>
        </w:rPr>
        <w:t>o. Um pacto assinado pelo PSDB - e seus aliados -</w:t>
      </w:r>
      <w:r w:rsidR="006644CD" w:rsidRPr="009058B5">
        <w:rPr>
          <w:b/>
        </w:rPr>
        <w:t xml:space="preserve"> com o povo</w:t>
      </w:r>
      <w:r w:rsidR="009058B5">
        <w:rPr>
          <w:b/>
        </w:rPr>
        <w:t>. Cabendo ao PT - e seus aliados – firmá-lo</w:t>
      </w:r>
      <w:r w:rsidR="006644CD" w:rsidRPr="009058B5">
        <w:rPr>
          <w:b/>
        </w:rPr>
        <w:t xml:space="preserve"> ou não. </w:t>
      </w:r>
      <w:r w:rsidR="006644CD" w:rsidRPr="009058B5">
        <w:rPr>
          <w:b/>
          <w:i/>
        </w:rPr>
        <w:t xml:space="preserve">Hic </w:t>
      </w:r>
      <w:proofErr w:type="spellStart"/>
      <w:r w:rsidR="006644CD" w:rsidRPr="009058B5">
        <w:rPr>
          <w:b/>
          <w:i/>
        </w:rPr>
        <w:t>Rhodus</w:t>
      </w:r>
      <w:proofErr w:type="spellEnd"/>
      <w:r w:rsidR="006644CD" w:rsidRPr="009058B5">
        <w:rPr>
          <w:b/>
          <w:i/>
        </w:rPr>
        <w:t>, hic salta</w:t>
      </w:r>
      <w:r w:rsidR="006644CD" w:rsidRPr="009058B5">
        <w:rPr>
          <w:b/>
        </w:rPr>
        <w:t>.</w:t>
      </w:r>
      <w:r w:rsidR="006644CD">
        <w:t xml:space="preserve"> </w:t>
      </w:r>
    </w:p>
    <w:p w14:paraId="5D05107F" w14:textId="6E267D1E" w:rsidR="005C31F0" w:rsidRPr="000E00C6" w:rsidRDefault="00A75E36" w:rsidP="0075563E">
      <w:pPr>
        <w:spacing w:beforeLines="100" w:before="240" w:afterLines="100"/>
        <w:ind w:firstLine="567"/>
        <w:rPr>
          <w:b/>
        </w:rPr>
      </w:pPr>
      <w:r>
        <w:t>Como a inflação interna após a implantação da nova moeda vai persist</w:t>
      </w:r>
      <w:r w:rsidR="00E94219">
        <w:t>ir na casa dos dois dígitos em 1994 e 1995</w:t>
      </w:r>
      <w:r>
        <w:rPr>
          <w:rStyle w:val="Refdenotaderodap"/>
        </w:rPr>
        <w:footnoteReference w:id="21"/>
      </w:r>
      <w:r w:rsidR="005C31F0">
        <w:t xml:space="preserve">, </w:t>
      </w:r>
      <w:r w:rsidR="005C31F0" w:rsidRPr="004B7DF1">
        <w:rPr>
          <w:b/>
        </w:rPr>
        <w:t>a utilização do dólar como parâmetro inicial</w:t>
      </w:r>
      <w:r w:rsidR="00E94219">
        <w:rPr>
          <w:b/>
        </w:rPr>
        <w:t xml:space="preserve"> (R$1 = 1 URV = US$ 1) </w:t>
      </w:r>
      <w:r w:rsidRPr="004B7DF1">
        <w:rPr>
          <w:b/>
        </w:rPr>
        <w:t>levar</w:t>
      </w:r>
      <w:r w:rsidR="009058B5">
        <w:rPr>
          <w:b/>
        </w:rPr>
        <w:t>á</w:t>
      </w:r>
      <w:r w:rsidR="00E94219">
        <w:rPr>
          <w:b/>
        </w:rPr>
        <w:t xml:space="preserve"> à </w:t>
      </w:r>
      <w:r w:rsidRPr="004B7DF1">
        <w:rPr>
          <w:b/>
        </w:rPr>
        <w:t>sobrevalorização d</w:t>
      </w:r>
      <w:r w:rsidR="00E94219">
        <w:rPr>
          <w:b/>
        </w:rPr>
        <w:t>o real</w:t>
      </w:r>
      <w:r w:rsidR="009058B5">
        <w:t xml:space="preserve">. O </w:t>
      </w:r>
      <w:r w:rsidR="00E94219">
        <w:t xml:space="preserve">que vai se resolver na </w:t>
      </w:r>
      <w:r w:rsidR="005C31F0">
        <w:t>exposi</w:t>
      </w:r>
      <w:r w:rsidR="00E94219">
        <w:t xml:space="preserve">ção competitiva industrial e em </w:t>
      </w:r>
      <w:r>
        <w:t>défic</w:t>
      </w:r>
      <w:r w:rsidR="00E94219">
        <w:t>it crescentes na balança comercial n</w:t>
      </w:r>
      <w:r>
        <w:t xml:space="preserve">o primeiro mandato de </w:t>
      </w:r>
      <w:r w:rsidR="001048C8">
        <w:t>FHC</w:t>
      </w:r>
      <w:r>
        <w:t xml:space="preserve">. </w:t>
      </w:r>
      <w:r w:rsidR="009058B5">
        <w:t xml:space="preserve">Esta sobrevalorização parecia ser um </w:t>
      </w:r>
      <w:r>
        <w:t>desvio de rota</w:t>
      </w:r>
      <w:r w:rsidR="009058B5">
        <w:t xml:space="preserve">, mas ela </w:t>
      </w:r>
      <w:r>
        <w:t>vai se revelar uma tendência estrutural do Plano Real. E</w:t>
      </w:r>
      <w:r w:rsidR="008328F6">
        <w:t xml:space="preserve"> isto por três</w:t>
      </w:r>
      <w:r w:rsidR="005C31F0">
        <w:t xml:space="preserve"> motivos. Em primeiro lugar, porque </w:t>
      </w:r>
      <w:r>
        <w:t>a sobrevalorizaç</w:t>
      </w:r>
      <w:r w:rsidR="008328F6">
        <w:t xml:space="preserve">ão não atinge igualmente todos os estratos </w:t>
      </w:r>
      <w:r w:rsidR="004B7DF1">
        <w:t>industria</w:t>
      </w:r>
      <w:r w:rsidR="00480BD7">
        <w:t>i</w:t>
      </w:r>
      <w:r w:rsidR="004B7DF1">
        <w:t>s</w:t>
      </w:r>
      <w:r w:rsidR="008328F6">
        <w:t xml:space="preserve">: </w:t>
      </w:r>
      <w:r w:rsidR="008328F6" w:rsidRPr="004B7DF1">
        <w:rPr>
          <w:b/>
        </w:rPr>
        <w:t xml:space="preserve">os estratos superiores </w:t>
      </w:r>
      <w:r w:rsidR="004B7DF1" w:rsidRPr="004B7DF1">
        <w:rPr>
          <w:b/>
        </w:rPr>
        <w:t>da indústria</w:t>
      </w:r>
      <w:r w:rsidR="000E00C6" w:rsidRPr="004B7DF1">
        <w:rPr>
          <w:b/>
        </w:rPr>
        <w:t xml:space="preserve"> </w:t>
      </w:r>
      <w:r w:rsidR="008328F6" w:rsidRPr="004B7DF1">
        <w:rPr>
          <w:b/>
        </w:rPr>
        <w:t xml:space="preserve">são amplamente beneficiados pela </w:t>
      </w:r>
      <w:r w:rsidR="005C31F0" w:rsidRPr="004B7DF1">
        <w:rPr>
          <w:b/>
        </w:rPr>
        <w:t xml:space="preserve">elevação do valor dos </w:t>
      </w:r>
      <w:r w:rsidR="008328F6" w:rsidRPr="004B7DF1">
        <w:rPr>
          <w:b/>
        </w:rPr>
        <w:t xml:space="preserve">seus </w:t>
      </w:r>
      <w:r w:rsidR="005C31F0" w:rsidRPr="004B7DF1">
        <w:rPr>
          <w:b/>
        </w:rPr>
        <w:t>ativos e</w:t>
      </w:r>
      <w:r w:rsidR="008328F6" w:rsidRPr="004B7DF1">
        <w:rPr>
          <w:b/>
        </w:rPr>
        <w:t xml:space="preserve">m dólar, que eleva </w:t>
      </w:r>
      <w:r w:rsidR="005C31F0" w:rsidRPr="004B7DF1">
        <w:rPr>
          <w:b/>
        </w:rPr>
        <w:t>a capacidade de</w:t>
      </w:r>
      <w:r w:rsidR="008328F6" w:rsidRPr="004B7DF1">
        <w:rPr>
          <w:b/>
        </w:rPr>
        <w:t xml:space="preserve"> realização de</w:t>
      </w:r>
      <w:r w:rsidR="000E00C6" w:rsidRPr="004B7DF1">
        <w:rPr>
          <w:b/>
        </w:rPr>
        <w:t xml:space="preserve"> aquisições no exterior</w:t>
      </w:r>
      <w:r w:rsidR="004B7DF1">
        <w:rPr>
          <w:rStyle w:val="Refdenotaderodap"/>
          <w:b/>
        </w:rPr>
        <w:footnoteReference w:id="22"/>
      </w:r>
      <w:r w:rsidR="000E00C6">
        <w:t>.</w:t>
      </w:r>
      <w:r w:rsidR="008328F6">
        <w:t xml:space="preserve"> Em segundo lugar, porque o fim da hiperinflação não significa o fim do </w:t>
      </w:r>
      <w:proofErr w:type="spellStart"/>
      <w:r w:rsidR="008328F6">
        <w:t>rentismo</w:t>
      </w:r>
      <w:proofErr w:type="spellEnd"/>
      <w:r w:rsidR="008328F6">
        <w:t xml:space="preserve"> na economia brasileira. </w:t>
      </w:r>
      <w:r w:rsidR="001048C8">
        <w:t>É bem verdade que o</w:t>
      </w:r>
      <w:r w:rsidR="008328F6">
        <w:t>s bancos que só alcançavam sobreviver com os ganhos inflacionários antes d</w:t>
      </w:r>
      <w:r w:rsidR="00B87102">
        <w:t xml:space="preserve">o Plano Real </w:t>
      </w:r>
      <w:r w:rsidR="00041A5A">
        <w:t xml:space="preserve">(assim como a indústria que não alcança se internacionalizar nem concorrer com os importados mais baratos) </w:t>
      </w:r>
      <w:r w:rsidR="008328F6">
        <w:t xml:space="preserve">entrarão na conta dos “anéis” a </w:t>
      </w:r>
      <w:r w:rsidR="00B87102">
        <w:t>serem cedidos em prol dos dedos e abrirão falência</w:t>
      </w:r>
      <w:r w:rsidR="008328F6">
        <w:t>.</w:t>
      </w:r>
      <w:r w:rsidR="00B87102">
        <w:t xml:space="preserve"> </w:t>
      </w:r>
      <w:r w:rsidR="00B87102" w:rsidRPr="00041A5A">
        <w:rPr>
          <w:b/>
        </w:rPr>
        <w:t>Mas os mais diversos empreendimentos – da produção automobilística ao comércio a varejo – têm seus ganhos associados ao financiamento a juros.</w:t>
      </w:r>
      <w:r w:rsidR="00B87102">
        <w:rPr>
          <w:b/>
        </w:rPr>
        <w:t xml:space="preserve"> </w:t>
      </w:r>
      <w:r w:rsidR="00B87102">
        <w:t xml:space="preserve">Uma política de juros elevados encontra apoio das mais diversas e surpreendentes setores da economia. E por fim, em terceiro lugar, porque o </w:t>
      </w:r>
      <w:r w:rsidR="00B87102" w:rsidRPr="000E00C6">
        <w:rPr>
          <w:b/>
        </w:rPr>
        <w:t xml:space="preserve">Banco Central se constituirá, ao longo dos oito anos da gestão </w:t>
      </w:r>
      <w:r w:rsidR="00A55AA9">
        <w:rPr>
          <w:b/>
        </w:rPr>
        <w:t>FHC</w:t>
      </w:r>
      <w:r w:rsidR="00B87102" w:rsidRPr="000E00C6">
        <w:rPr>
          <w:b/>
        </w:rPr>
        <w:t>, cada vez mais, “</w:t>
      </w:r>
      <w:r w:rsidR="007D03B2">
        <w:rPr>
          <w:b/>
        </w:rPr>
        <w:t>n</w:t>
      </w:r>
      <w:r w:rsidR="00B87102" w:rsidRPr="000E00C6">
        <w:rPr>
          <w:b/>
        </w:rPr>
        <w:t xml:space="preserve">o” </w:t>
      </w:r>
      <w:r w:rsidR="000E00C6">
        <w:rPr>
          <w:b/>
        </w:rPr>
        <w:t>órgão responsável</w:t>
      </w:r>
      <w:r w:rsidR="00B87102" w:rsidRPr="000E00C6">
        <w:rPr>
          <w:b/>
        </w:rPr>
        <w:t xml:space="preserve"> pela condução</w:t>
      </w:r>
      <w:r w:rsidR="000E00C6">
        <w:rPr>
          <w:b/>
        </w:rPr>
        <w:t xml:space="preserve"> autônoma da dimensão especificamente </w:t>
      </w:r>
      <w:r w:rsidR="000E00C6">
        <w:rPr>
          <w:b/>
        </w:rPr>
        <w:lastRenderedPageBreak/>
        <w:t>anti-inflacionária do</w:t>
      </w:r>
      <w:r w:rsidR="00B87102" w:rsidRPr="000E00C6">
        <w:rPr>
          <w:b/>
        </w:rPr>
        <w:t xml:space="preserve"> Pacto-Plano</w:t>
      </w:r>
      <w:r w:rsidR="000E00C6">
        <w:rPr>
          <w:b/>
        </w:rPr>
        <w:t>,</w:t>
      </w:r>
      <w:r w:rsidR="00B87102" w:rsidRPr="000E00C6">
        <w:rPr>
          <w:b/>
        </w:rPr>
        <w:t xml:space="preserve"> com crescente auto</w:t>
      </w:r>
      <w:r w:rsidR="000E00C6">
        <w:rPr>
          <w:b/>
        </w:rPr>
        <w:t xml:space="preserve">nomia para conduzir a gestão monetário-cambial </w:t>
      </w:r>
      <w:r w:rsidR="007D03B2">
        <w:rPr>
          <w:b/>
        </w:rPr>
        <w:t>acima do governo</w:t>
      </w:r>
      <w:r w:rsidR="00B87102" w:rsidRPr="000E00C6">
        <w:rPr>
          <w:b/>
        </w:rPr>
        <w:t xml:space="preserve"> ou </w:t>
      </w:r>
      <w:r w:rsidR="000E00C6">
        <w:rPr>
          <w:b/>
        </w:rPr>
        <w:t>d</w:t>
      </w:r>
      <w:r w:rsidR="007D03B2">
        <w:rPr>
          <w:b/>
        </w:rPr>
        <w:t>o</w:t>
      </w:r>
      <w:r w:rsidR="000E00C6">
        <w:rPr>
          <w:b/>
        </w:rPr>
        <w:t xml:space="preserve"> </w:t>
      </w:r>
      <w:r w:rsidR="007D03B2">
        <w:rPr>
          <w:b/>
        </w:rPr>
        <w:t>partido</w:t>
      </w:r>
      <w:r w:rsidR="00B87102" w:rsidRPr="000E00C6">
        <w:rPr>
          <w:b/>
        </w:rPr>
        <w:t xml:space="preserve"> no poder</w:t>
      </w:r>
      <w:r w:rsidR="007D03B2">
        <w:rPr>
          <w:rStyle w:val="Refdenotaderodap"/>
          <w:b/>
        </w:rPr>
        <w:footnoteReference w:id="23"/>
      </w:r>
      <w:r w:rsidR="00B87102" w:rsidRPr="000E00C6">
        <w:rPr>
          <w:b/>
        </w:rPr>
        <w:t xml:space="preserve">. </w:t>
      </w:r>
    </w:p>
    <w:p w14:paraId="2656AFA8" w14:textId="4ADC10BE" w:rsidR="00A925F5" w:rsidRDefault="009F5B50" w:rsidP="0075563E">
      <w:pPr>
        <w:spacing w:beforeLines="100" w:before="240" w:afterLines="100"/>
        <w:ind w:firstLine="567"/>
      </w:pPr>
      <w:r>
        <w:t xml:space="preserve">Em 1994 o PT perdeu as eleições por contar apenas com o descontentamento das massas lesadas pela inflação e não contar com qualquer projeto de enfrentamento da mesma. Em 1998, persistiu na estratégia </w:t>
      </w:r>
      <w:proofErr w:type="spellStart"/>
      <w:r>
        <w:t>denuncis</w:t>
      </w:r>
      <w:r w:rsidR="00023F27">
        <w:t>ta</w:t>
      </w:r>
      <w:proofErr w:type="spellEnd"/>
      <w:r w:rsidR="00023F27">
        <w:t>, criticando</w:t>
      </w:r>
      <w:r>
        <w:t xml:space="preserve"> os descaminhos, labirintos e desconhecimentos das privatizações</w:t>
      </w:r>
      <w:r w:rsidR="00247CCD">
        <w:t>,</w:t>
      </w:r>
      <w:r w:rsidR="00023F27">
        <w:t xml:space="preserve"> mas </w:t>
      </w:r>
      <w:r>
        <w:t xml:space="preserve">negando-se </w:t>
      </w:r>
      <w:r w:rsidR="00023F27">
        <w:t xml:space="preserve">a </w:t>
      </w:r>
      <w:r>
        <w:t>firmar qualquer projeto de combate à inflação. E, novamente, perdeu as eleições. E foi obrigado a assistir o aprofundamento do programa de desidratação modernizante do Estado Leviatã</w:t>
      </w:r>
      <w:r w:rsidR="00023F27">
        <w:t>,</w:t>
      </w:r>
      <w:r>
        <w:t xml:space="preserve"> que irá se cons</w:t>
      </w:r>
      <w:r w:rsidR="00023F27">
        <w:t xml:space="preserve">agrar </w:t>
      </w:r>
      <w:r>
        <w:t xml:space="preserve">na Lei de Responsabilidade Fiscal </w:t>
      </w:r>
      <w:r w:rsidR="00023F27">
        <w:t>instituída (não gratuitamente) às vésperas da (já esperada</w:t>
      </w:r>
      <w:r w:rsidR="002C2EB8">
        <w:t>, porquanto por duas vezes adiada</w:t>
      </w:r>
      <w:r w:rsidR="00023F27">
        <w:t xml:space="preserve">) vitória do PT nas eleições nacionais. </w:t>
      </w:r>
    </w:p>
    <w:p w14:paraId="669D7980" w14:textId="10076B46" w:rsidR="003C291C" w:rsidRDefault="00023F27" w:rsidP="0075563E">
      <w:pPr>
        <w:spacing w:beforeLines="100" w:before="240" w:afterLines="100"/>
        <w:ind w:firstLine="567"/>
      </w:pPr>
      <w:r>
        <w:t xml:space="preserve">Finalmente, em meados de 2002, </w:t>
      </w:r>
      <w:r w:rsidR="00A925F5">
        <w:t>no bojo de uma campanha eleit</w:t>
      </w:r>
      <w:r w:rsidR="000A0567">
        <w:t>oral extremamente aci</w:t>
      </w:r>
      <w:r w:rsidR="00041A5A">
        <w:t>rrada, em que o câmbio foi objeto</w:t>
      </w:r>
      <w:r w:rsidR="000A0567">
        <w:t xml:space="preserve"> de severa especulação e a inflação corria o risco de fugir ao controle, o </w:t>
      </w:r>
      <w:r w:rsidR="00A925F5">
        <w:t>candidato Lula</w:t>
      </w:r>
      <w:r w:rsidR="000A0567">
        <w:t xml:space="preserve"> veio a público</w:t>
      </w:r>
      <w:r w:rsidR="00041A5A">
        <w:t>,</w:t>
      </w:r>
      <w:r w:rsidR="000A0567">
        <w:t xml:space="preserve"> através da “Carta ao Povo Brasileiro”</w:t>
      </w:r>
      <w:r w:rsidR="00041A5A">
        <w:t>, se comprometer</w:t>
      </w:r>
      <w:r w:rsidR="000A0567">
        <w:t xml:space="preserve"> com a preservação de um</w:t>
      </w:r>
      <w:r w:rsidR="008A32E2">
        <w:t>a</w:t>
      </w:r>
      <w:r w:rsidR="000A0567">
        <w:t xml:space="preserve"> política</w:t>
      </w:r>
      <w:r w:rsidR="008A32E2">
        <w:t xml:space="preserve"> de</w:t>
      </w:r>
      <w:r w:rsidR="000A0567">
        <w:t xml:space="preserve"> </w:t>
      </w:r>
      <w:r w:rsidR="008A32E2">
        <w:t xml:space="preserve">combate à inflação com base na </w:t>
      </w:r>
      <w:r w:rsidR="000A0567">
        <w:t>g</w:t>
      </w:r>
      <w:r w:rsidR="008A32E2">
        <w:t xml:space="preserve">eração de superávits primários. (Silva, 2002). </w:t>
      </w:r>
      <w:r w:rsidR="008A6EF4">
        <w:t xml:space="preserve">É notável a ausência de qualquer referência à política monetária e ao </w:t>
      </w:r>
      <w:r w:rsidR="008A32E2">
        <w:t>Banco Central n</w:t>
      </w:r>
      <w:r w:rsidR="008A6EF4">
        <w:t xml:space="preserve">a referida Carta. </w:t>
      </w:r>
      <w:r w:rsidR="00041A5A">
        <w:t>Mas logo após a vitória e posse,</w:t>
      </w:r>
      <w:r w:rsidR="002C2EB8">
        <w:t xml:space="preserve"> os silêncios serão mais </w:t>
      </w:r>
      <w:r w:rsidR="00041A5A">
        <w:t xml:space="preserve">do que compensados pelas ações: </w:t>
      </w:r>
      <w:r w:rsidR="002C2EB8">
        <w:t xml:space="preserve">Lula </w:t>
      </w:r>
      <w:r w:rsidR="0023525E">
        <w:t>indicará - e o Senado sancionará -</w:t>
      </w:r>
      <w:r w:rsidR="002C2EB8">
        <w:t xml:space="preserve"> Henrique Meirelles para </w:t>
      </w:r>
      <w:r w:rsidR="00AA0CED">
        <w:t>a Presidência do Banco Central.</w:t>
      </w:r>
      <w:r w:rsidR="002C2EB8">
        <w:t xml:space="preserve"> </w:t>
      </w:r>
      <w:r w:rsidR="00CA00A8">
        <w:t xml:space="preserve">Meirelles </w:t>
      </w:r>
      <w:r w:rsidR="00041A5A">
        <w:t xml:space="preserve">acabara de se aposentar de uma </w:t>
      </w:r>
      <w:proofErr w:type="gramStart"/>
      <w:r w:rsidR="00041A5A">
        <w:t>bem sucedida</w:t>
      </w:r>
      <w:proofErr w:type="gramEnd"/>
      <w:r w:rsidR="00041A5A">
        <w:t xml:space="preserve"> carreira de </w:t>
      </w:r>
      <w:r w:rsidR="00041A5A" w:rsidRPr="007D082E">
        <w:t>banqueiro</w:t>
      </w:r>
      <w:r w:rsidR="00041A5A">
        <w:t xml:space="preserve"> internacional</w:t>
      </w:r>
      <w:r w:rsidR="00041A5A">
        <w:rPr>
          <w:rStyle w:val="Refdenotaderodap"/>
        </w:rPr>
        <w:footnoteReference w:id="24"/>
      </w:r>
      <w:r w:rsidR="00041A5A">
        <w:t xml:space="preserve"> e contava </w:t>
      </w:r>
      <w:r w:rsidR="00B40EB4">
        <w:t>com ampla circ</w:t>
      </w:r>
      <w:r w:rsidR="0023525E">
        <w:t>ula</w:t>
      </w:r>
      <w:r w:rsidR="00041A5A">
        <w:t>ção, confiança e respaldo d</w:t>
      </w:r>
      <w:r w:rsidR="0023525E">
        <w:t>as</w:t>
      </w:r>
      <w:r w:rsidR="00B40EB4">
        <w:t xml:space="preserve"> principais lideranças da </w:t>
      </w:r>
      <w:r w:rsidR="00B40EB4" w:rsidRPr="0023525E">
        <w:rPr>
          <w:b/>
        </w:rPr>
        <w:t>Federação dos Ban</w:t>
      </w:r>
      <w:r w:rsidR="0023525E" w:rsidRPr="0023525E">
        <w:rPr>
          <w:b/>
        </w:rPr>
        <w:t>cos Brasileiros</w:t>
      </w:r>
      <w:r w:rsidR="00041A5A">
        <w:rPr>
          <w:b/>
        </w:rPr>
        <w:t>.</w:t>
      </w:r>
      <w:r w:rsidR="0023525E">
        <w:t xml:space="preserve"> </w:t>
      </w:r>
      <w:r w:rsidR="00041A5A">
        <w:t>Além disso</w:t>
      </w:r>
      <w:r w:rsidR="004B5FFB">
        <w:t>,</w:t>
      </w:r>
      <w:r w:rsidR="00041A5A">
        <w:t xml:space="preserve"> acabara de conquistar um</w:t>
      </w:r>
      <w:r w:rsidR="004B5FFB">
        <w:t xml:space="preserve"> assento na Câmara Federa</w:t>
      </w:r>
      <w:r w:rsidR="00247CCD">
        <w:t>l</w:t>
      </w:r>
      <w:r w:rsidR="004B5FFB">
        <w:t xml:space="preserve"> </w:t>
      </w:r>
      <w:r w:rsidR="00B40EB4">
        <w:t xml:space="preserve">como </w:t>
      </w:r>
      <w:r w:rsidR="00CA00A8">
        <w:t xml:space="preserve">deputado </w:t>
      </w:r>
      <w:proofErr w:type="gramStart"/>
      <w:r w:rsidR="00B40EB4">
        <w:t>recém eleito</w:t>
      </w:r>
      <w:proofErr w:type="gramEnd"/>
      <w:r w:rsidR="00B40EB4">
        <w:t xml:space="preserve"> pelo </w:t>
      </w:r>
      <w:r w:rsidR="00B40EB4" w:rsidRPr="007D082E">
        <w:t>PSDB</w:t>
      </w:r>
      <w:r w:rsidR="00B40EB4">
        <w:t xml:space="preserve"> de Goiás. Qual a mensagem que se pretende dar ao mercado com uma indicação desta? ... Evidentemente, a de que </w:t>
      </w:r>
      <w:r w:rsidR="00A30A04" w:rsidRPr="0023525E">
        <w:rPr>
          <w:b/>
        </w:rPr>
        <w:t xml:space="preserve">a política monetária será </w:t>
      </w:r>
      <w:r w:rsidR="0023525E" w:rsidRPr="0023525E">
        <w:rPr>
          <w:b/>
        </w:rPr>
        <w:t>estritamente continuísta</w:t>
      </w:r>
      <w:r w:rsidR="0023525E">
        <w:t xml:space="preserve">. </w:t>
      </w:r>
    </w:p>
    <w:p w14:paraId="424B098D" w14:textId="4BB5B5C8" w:rsidR="00567284" w:rsidRDefault="0023525E" w:rsidP="0075563E">
      <w:pPr>
        <w:spacing w:beforeLines="100" w:before="240" w:afterLines="100"/>
        <w:ind w:firstLine="567"/>
      </w:pPr>
      <w:r>
        <w:t>Passado pouco mais de um ano, em função de circunstâncias políticas constrangedoras</w:t>
      </w:r>
      <w:r w:rsidR="009D0109">
        <w:rPr>
          <w:rStyle w:val="Refdenotaderodap"/>
        </w:rPr>
        <w:footnoteReference w:id="25"/>
      </w:r>
      <w:r w:rsidR="004B5FFB">
        <w:t>,</w:t>
      </w:r>
      <w:r w:rsidR="009D0109">
        <w:t xml:space="preserve"> </w:t>
      </w:r>
      <w:r>
        <w:t>um</w:t>
      </w:r>
      <w:r w:rsidR="004B5FFB">
        <w:t xml:space="preserve"> passo “adiante” será dado na </w:t>
      </w:r>
      <w:r>
        <w:t>afirmação d</w:t>
      </w:r>
      <w:r w:rsidR="003C291C">
        <w:t xml:space="preserve">o compromisso da primeira gestão </w:t>
      </w:r>
      <w:r w:rsidR="004B5FFB">
        <w:t>de Lula com o projeto</w:t>
      </w:r>
      <w:r w:rsidR="003C291C">
        <w:t xml:space="preserve"> de “Estado Moderno”</w:t>
      </w:r>
      <w:r w:rsidR="004B5FFB">
        <w:t xml:space="preserve"> articulado no bojo do Pacto-Plano Real</w:t>
      </w:r>
      <w:r w:rsidR="003C291C">
        <w:t xml:space="preserve"> </w:t>
      </w:r>
      <w:r w:rsidR="00D04BE1">
        <w:t>com a</w:t>
      </w:r>
      <w:r>
        <w:t xml:space="preserve"> outorga de status </w:t>
      </w:r>
      <w:r>
        <w:lastRenderedPageBreak/>
        <w:t>de Ministro ao Presidente do Banco Central</w:t>
      </w:r>
      <w:r w:rsidR="009D0109">
        <w:t xml:space="preserve">. </w:t>
      </w:r>
      <w:r w:rsidR="003C291C">
        <w:t>E o</w:t>
      </w:r>
      <w:r w:rsidR="00D04BE1">
        <w:t xml:space="preserve"> que parecia ser apenas um d</w:t>
      </w:r>
      <w:r w:rsidR="003C291C">
        <w:t>etalhe insignificante veio a se mostrar</w:t>
      </w:r>
      <w:r w:rsidR="00D04BE1">
        <w:t xml:space="preserve"> a consagração </w:t>
      </w:r>
      <w:r w:rsidR="003C291C">
        <w:t xml:space="preserve">e ápice </w:t>
      </w:r>
      <w:r w:rsidR="00D04BE1">
        <w:t xml:space="preserve">de um </w:t>
      </w:r>
      <w:r w:rsidR="003C291C">
        <w:t xml:space="preserve">longo </w:t>
      </w:r>
      <w:r w:rsidR="00D04BE1">
        <w:t>proc</w:t>
      </w:r>
      <w:r w:rsidR="004B5FFB">
        <w:t>esso de autonomização do Bacen. N</w:t>
      </w:r>
      <w:r w:rsidR="003C291C">
        <w:t xml:space="preserve">em </w:t>
      </w:r>
      <w:r w:rsidR="004B5FFB">
        <w:t>poderia deixar de ser assim.</w:t>
      </w:r>
      <w:r w:rsidR="003C291C">
        <w:t xml:space="preserve"> Afinal, a Constituição </w:t>
      </w:r>
      <w:r w:rsidR="00247CCD">
        <w:t>d</w:t>
      </w:r>
      <w:r w:rsidR="003C291C">
        <w:t xml:space="preserve">e 1988 </w:t>
      </w:r>
      <w:r w:rsidR="004B5FFB">
        <w:t xml:space="preserve">já </w:t>
      </w:r>
      <w:r w:rsidR="003C291C">
        <w:t xml:space="preserve">projetava esta autonomia. Ela não se impunha </w:t>
      </w:r>
      <w:r w:rsidR="004B5FFB">
        <w:t xml:space="preserve">de fato </w:t>
      </w:r>
      <w:r w:rsidR="003C291C">
        <w:t xml:space="preserve">na medida em que a </w:t>
      </w:r>
      <w:r w:rsidR="004B5FFB">
        <w:t>hiper</w:t>
      </w:r>
      <w:r w:rsidR="003C291C">
        <w:t>inflação e o padrão p</w:t>
      </w:r>
      <w:r w:rsidR="00187437">
        <w:t>atrimonialista de organização e ges</w:t>
      </w:r>
      <w:r w:rsidR="004B5FFB">
        <w:t xml:space="preserve">tão do Estado tornavam a lei inoperante. Com o controle da inflação e a </w:t>
      </w:r>
      <w:r w:rsidR="00187437">
        <w:t xml:space="preserve">Reengenharia Política do Pacto-Plano Real </w:t>
      </w:r>
      <w:r w:rsidR="004B5FFB">
        <w:t xml:space="preserve">levados a cabo com vistas a </w:t>
      </w:r>
      <w:r w:rsidR="00567284">
        <w:t>“modernizar o Estado</w:t>
      </w:r>
      <w:r w:rsidR="0059032A">
        <w:t>” para receber a esquerda,</w:t>
      </w:r>
      <w:r w:rsidR="00567284">
        <w:t xml:space="preserve"> esta realidade mudou. </w:t>
      </w:r>
    </w:p>
    <w:p w14:paraId="53BA4F32" w14:textId="6ADD0B9F" w:rsidR="0090497F" w:rsidRDefault="00187437" w:rsidP="0075563E">
      <w:pPr>
        <w:spacing w:beforeLines="100" w:before="240" w:afterLines="100"/>
        <w:ind w:firstLine="567"/>
      </w:pPr>
      <w:r>
        <w:t>Lula – inici</w:t>
      </w:r>
      <w:r w:rsidR="0059032A">
        <w:t>almente</w:t>
      </w:r>
      <w:r>
        <w:t xml:space="preserve"> </w:t>
      </w:r>
      <w:r w:rsidR="0059032A">
        <w:t xml:space="preserve">premido </w:t>
      </w:r>
      <w:r w:rsidR="00F8173E">
        <w:t>pela nece</w:t>
      </w:r>
      <w:r w:rsidR="0059032A">
        <w:t>ssidade de enfrentar o ataque especulativo ao real associado à sua eleição e, post</w:t>
      </w:r>
      <w:r w:rsidR="00122F66">
        <w:t xml:space="preserve">eriormente, sob a influência </w:t>
      </w:r>
      <w:r w:rsidR="00C7347B">
        <w:t xml:space="preserve">de </w:t>
      </w:r>
      <w:r w:rsidR="00122F66">
        <w:t xml:space="preserve">Antônio Palocci </w:t>
      </w:r>
      <w:r w:rsidR="00C7347B">
        <w:t xml:space="preserve">e Henrique Meirelles </w:t>
      </w:r>
      <w:r>
        <w:t xml:space="preserve">– </w:t>
      </w:r>
      <w:r w:rsidR="00122F66">
        <w:t>adotou</w:t>
      </w:r>
      <w:r>
        <w:t xml:space="preserve">, no início de seu primeiro mandato, uma gestão fiscal e monetária </w:t>
      </w:r>
      <w:r w:rsidR="00122F66">
        <w:t xml:space="preserve">ainda mais </w:t>
      </w:r>
      <w:r>
        <w:t>conservadora</w:t>
      </w:r>
      <w:r w:rsidR="00122F66">
        <w:t xml:space="preserve"> que a política negociada por </w:t>
      </w:r>
      <w:r w:rsidR="00A55AA9">
        <w:t>FHC</w:t>
      </w:r>
      <w:r w:rsidR="00122F66">
        <w:t xml:space="preserve"> com o FMI no seu segundo mandato</w:t>
      </w:r>
      <w:r>
        <w:t xml:space="preserve">. </w:t>
      </w:r>
      <w:r w:rsidR="00C7347B">
        <w:t xml:space="preserve">O abandono deste padrão de gestão foi paulatino. Ele começou </w:t>
      </w:r>
      <w:r w:rsidR="00122F66">
        <w:t>sob a influência de Dilma na Casa Civil,</w:t>
      </w:r>
      <w:r w:rsidR="00C7347B">
        <w:t xml:space="preserve"> após a saída de José Dirceu. Mas só se consolidará </w:t>
      </w:r>
      <w:r w:rsidR="001A0456">
        <w:t>com</w:t>
      </w:r>
      <w:r w:rsidR="00C7347B">
        <w:t xml:space="preserve"> a saída de Palo</w:t>
      </w:r>
      <w:r w:rsidR="000C2FDD">
        <w:t>cci</w:t>
      </w:r>
      <w:r w:rsidR="001A0456">
        <w:t xml:space="preserve"> do Ministério da Fazenda,</w:t>
      </w:r>
      <w:r w:rsidR="000C2FDD">
        <w:t xml:space="preserve"> </w:t>
      </w:r>
      <w:r w:rsidR="001A0456">
        <w:t xml:space="preserve">e </w:t>
      </w:r>
      <w:r w:rsidR="000C2FDD">
        <w:t xml:space="preserve">vai se aprofundar no segundo mandato de Lula </w:t>
      </w:r>
      <w:proofErr w:type="gramStart"/>
      <w:r w:rsidR="000C2FDD">
        <w:t xml:space="preserve">e </w:t>
      </w:r>
      <w:r w:rsidR="00122F66">
        <w:t xml:space="preserve"> no</w:t>
      </w:r>
      <w:proofErr w:type="gramEnd"/>
      <w:r w:rsidR="00122F66">
        <w:t xml:space="preserve"> primeiro mandato de Dilma como </w:t>
      </w:r>
      <w:r w:rsidR="000E75C7">
        <w:t>Presidente</w:t>
      </w:r>
      <w:r w:rsidR="00122F66">
        <w:t xml:space="preserve">. </w:t>
      </w:r>
      <w:r w:rsidR="001A0456">
        <w:rPr>
          <w:b/>
        </w:rPr>
        <w:t>Não obstante,</w:t>
      </w:r>
      <w:r w:rsidRPr="00122F66">
        <w:rPr>
          <w:b/>
        </w:rPr>
        <w:t xml:space="preserve"> nenhum </w:t>
      </w:r>
      <w:r w:rsidR="00122F66" w:rsidRPr="00122F66">
        <w:rPr>
          <w:b/>
        </w:rPr>
        <w:t xml:space="preserve">presidente petista </w:t>
      </w:r>
      <w:r w:rsidRPr="00122F66">
        <w:rPr>
          <w:b/>
        </w:rPr>
        <w:t xml:space="preserve">alcançou alterar </w:t>
      </w:r>
      <w:r w:rsidR="001A0456">
        <w:rPr>
          <w:b/>
        </w:rPr>
        <w:t>a</w:t>
      </w:r>
      <w:r w:rsidRPr="00122F66">
        <w:rPr>
          <w:b/>
        </w:rPr>
        <w:t xml:space="preserve"> política monetária. Porque, ela deix</w:t>
      </w:r>
      <w:r w:rsidR="001A0456">
        <w:rPr>
          <w:b/>
        </w:rPr>
        <w:t>ou de se encontrar sob controle do Executivo</w:t>
      </w:r>
      <w:r w:rsidR="001A0456" w:rsidRPr="007D082E">
        <w:rPr>
          <w:b/>
        </w:rPr>
        <w:t xml:space="preserve">. </w:t>
      </w:r>
      <w:r>
        <w:t>Lula e Dilma nomeiam seus Ministros da Fazenda. E indicam para a Presidência do Banco Central</w:t>
      </w:r>
      <w:r w:rsidR="002537C1">
        <w:t xml:space="preserve"> nomes palatáveis ao “mercado” e com independência e autoridade para preservar o princípio primeiro do Pacto-Plano: a identidade entre moeda e dinheiro e, por conseguinte, </w:t>
      </w:r>
      <w:r w:rsidR="001A0456">
        <w:t xml:space="preserve">o respeito </w:t>
      </w:r>
      <w:proofErr w:type="gramStart"/>
      <w:r w:rsidR="001A0456">
        <w:t xml:space="preserve">ao </w:t>
      </w:r>
      <w:r w:rsidR="002537C1">
        <w:t xml:space="preserve"> teto</w:t>
      </w:r>
      <w:proofErr w:type="gramEnd"/>
      <w:r w:rsidR="002537C1">
        <w:t xml:space="preserve"> da meta</w:t>
      </w:r>
      <w:r w:rsidR="001A0456">
        <w:t xml:space="preserve"> de inflação</w:t>
      </w:r>
      <w:r w:rsidR="002537C1">
        <w:t>.</w:t>
      </w:r>
      <w:r>
        <w:t xml:space="preserve"> O Sen</w:t>
      </w:r>
      <w:r w:rsidR="00122F66">
        <w:t xml:space="preserve">ado os avalia e sanciona (ou não). Ouvido </w:t>
      </w:r>
      <w:r>
        <w:t>o sábio mercado</w:t>
      </w:r>
      <w:r w:rsidR="0090497F">
        <w:t>. Que</w:t>
      </w:r>
      <w:r w:rsidR="00122F66">
        <w:t xml:space="preserve"> se expressa através da </w:t>
      </w:r>
      <w:r w:rsidR="0090497F">
        <w:t xml:space="preserve">Febraban. </w:t>
      </w:r>
      <w:r w:rsidR="0090497F" w:rsidRPr="00122F66">
        <w:rPr>
          <w:i/>
        </w:rPr>
        <w:t xml:space="preserve">E </w:t>
      </w:r>
      <w:proofErr w:type="spellStart"/>
      <w:r w:rsidR="0090497F" w:rsidRPr="00122F66">
        <w:rPr>
          <w:i/>
        </w:rPr>
        <w:t>la</w:t>
      </w:r>
      <w:proofErr w:type="spellEnd"/>
      <w:r w:rsidR="0090497F" w:rsidRPr="00122F66">
        <w:rPr>
          <w:i/>
        </w:rPr>
        <w:t xml:space="preserve"> nave </w:t>
      </w:r>
      <w:proofErr w:type="spellStart"/>
      <w:r w:rsidR="0090497F" w:rsidRPr="00122F66">
        <w:rPr>
          <w:i/>
        </w:rPr>
        <w:t>va</w:t>
      </w:r>
      <w:proofErr w:type="spellEnd"/>
      <w:r w:rsidR="0090497F">
        <w:t xml:space="preserve">. </w:t>
      </w:r>
    </w:p>
    <w:p w14:paraId="2D7D1D5D" w14:textId="77777777" w:rsidR="00956AD6" w:rsidRPr="00182951" w:rsidRDefault="00956AD6" w:rsidP="0075563E">
      <w:pPr>
        <w:spacing w:beforeLines="100" w:before="240" w:afterLines="100"/>
        <w:rPr>
          <w:b/>
        </w:rPr>
      </w:pPr>
      <w:r w:rsidRPr="00956AD6">
        <w:rPr>
          <w:b/>
        </w:rPr>
        <w:t xml:space="preserve">3. As consequências da sobrevalorização </w:t>
      </w:r>
      <w:r w:rsidR="00D04BE1">
        <w:rPr>
          <w:b/>
        </w:rPr>
        <w:t xml:space="preserve">cambial </w:t>
      </w:r>
      <w:r w:rsidRPr="00956AD6">
        <w:rPr>
          <w:b/>
        </w:rPr>
        <w:t xml:space="preserve">crônica para a </w:t>
      </w:r>
      <w:r w:rsidR="00D04BE1">
        <w:rPr>
          <w:b/>
        </w:rPr>
        <w:t xml:space="preserve">indústria e </w:t>
      </w:r>
      <w:r w:rsidR="00182951">
        <w:rPr>
          <w:b/>
        </w:rPr>
        <w:t xml:space="preserve">para o desenvolvimento nacional  </w:t>
      </w:r>
    </w:p>
    <w:p w14:paraId="33DC375A" w14:textId="53F89DA0" w:rsidR="00C60757" w:rsidRDefault="00122F66" w:rsidP="00310B39">
      <w:r>
        <w:tab/>
      </w:r>
      <w:r w:rsidR="00EA05C1">
        <w:t>A</w:t>
      </w:r>
      <w:r w:rsidR="001E75AA">
        <w:t xml:space="preserve"> tese </w:t>
      </w:r>
      <w:r w:rsidR="0003028A">
        <w:t xml:space="preserve">central </w:t>
      </w:r>
      <w:r w:rsidR="00EA05C1">
        <w:t>d</w:t>
      </w:r>
      <w:r w:rsidR="0003028A">
        <w:t>este trabalh</w:t>
      </w:r>
      <w:r w:rsidR="001E75AA">
        <w:t>o</w:t>
      </w:r>
      <w:r w:rsidR="00EA05C1">
        <w:t xml:space="preserve"> é </w:t>
      </w:r>
      <w:r w:rsidR="001E75AA">
        <w:t xml:space="preserve">a de que, </w:t>
      </w:r>
      <w:r w:rsidR="001E75AA" w:rsidRPr="001E75AA">
        <w:rPr>
          <w:b/>
        </w:rPr>
        <w:t>sob os governos petistas</w:t>
      </w:r>
      <w:r w:rsidR="00EA05C1">
        <w:rPr>
          <w:b/>
        </w:rPr>
        <w:t>,</w:t>
      </w:r>
      <w:r w:rsidR="001E75AA" w:rsidRPr="001E75AA">
        <w:rPr>
          <w:b/>
        </w:rPr>
        <w:t xml:space="preserve"> o Banco Central – e, por extensão, a política monetária e cambial – adquiriu radical autonomia</w:t>
      </w:r>
      <w:r w:rsidR="001E75AA">
        <w:rPr>
          <w:b/>
        </w:rPr>
        <w:t xml:space="preserve"> frente os demais órgãos </w:t>
      </w:r>
      <w:r w:rsidR="00EA05C1">
        <w:rPr>
          <w:b/>
        </w:rPr>
        <w:t xml:space="preserve">definidores </w:t>
      </w:r>
      <w:r w:rsidR="001E75AA">
        <w:rPr>
          <w:b/>
        </w:rPr>
        <w:t>d</w:t>
      </w:r>
      <w:r w:rsidR="00EA05C1">
        <w:rPr>
          <w:b/>
        </w:rPr>
        <w:t>a</w:t>
      </w:r>
      <w:r w:rsidR="001E75AA">
        <w:rPr>
          <w:b/>
        </w:rPr>
        <w:t xml:space="preserve"> política macroeconômica </w:t>
      </w:r>
      <w:r w:rsidR="00EA05C1">
        <w:rPr>
          <w:b/>
        </w:rPr>
        <w:t xml:space="preserve">efetivamente </w:t>
      </w:r>
      <w:r w:rsidR="001E75AA">
        <w:rPr>
          <w:b/>
        </w:rPr>
        <w:t>controlados pelo Poder Executivo Federal.</w:t>
      </w:r>
      <w:r w:rsidR="001E75AA">
        <w:t xml:space="preserve"> </w:t>
      </w:r>
      <w:r w:rsidR="00EA05C1">
        <w:t>Esta</w:t>
      </w:r>
      <w:r w:rsidR="00FA0B1A">
        <w:t xml:space="preserve"> cesura imp</w:t>
      </w:r>
      <w:r w:rsidR="00EA05C1">
        <w:t>ôs</w:t>
      </w:r>
      <w:r w:rsidR="00FA0B1A">
        <w:t xml:space="preserve"> consequências e deix</w:t>
      </w:r>
      <w:r w:rsidR="00EA05C1">
        <w:t>ou</w:t>
      </w:r>
      <w:r w:rsidR="00FA0B1A">
        <w:t xml:space="preserve"> marcas; algumas delas</w:t>
      </w:r>
      <w:r w:rsidR="00EA05C1">
        <w:t>,</w:t>
      </w:r>
      <w:r w:rsidR="00FA0B1A">
        <w:t xml:space="preserve"> graves. </w:t>
      </w:r>
    </w:p>
    <w:p w14:paraId="224444E0" w14:textId="43B9818F" w:rsidR="00BD1CCF" w:rsidRDefault="00FA0B1A" w:rsidP="00310B39">
      <w:r>
        <w:tab/>
        <w:t xml:space="preserve">Antes de mais nada, cabe demonstrar </w:t>
      </w:r>
      <w:r w:rsidR="000702BF">
        <w:t>a persistência da sobrevalorização do real ao longo do período. Esta demonstração não é trivial</w:t>
      </w:r>
      <w:r w:rsidR="006148D3">
        <w:t>,</w:t>
      </w:r>
      <w:r w:rsidR="000702BF">
        <w:t xml:space="preserve"> pois existem distintas formas de avaliar a evolução da taxa de câmbio real, algumas das quais levam em consideração a evolução dos termos de </w:t>
      </w:r>
      <w:r w:rsidR="000702BF">
        <w:lastRenderedPageBreak/>
        <w:t xml:space="preserve">intercâmbio do Brasil com seus principais parceiros comerciais </w:t>
      </w:r>
      <w:r w:rsidR="00D72817">
        <w:t>ao longo do tempo</w:t>
      </w:r>
      <w:r w:rsidR="000702BF">
        <w:t>. Acreditamos que este tipo de sofisticação</w:t>
      </w:r>
      <w:r w:rsidR="00D72817">
        <w:t xml:space="preserve"> </w:t>
      </w:r>
      <w:proofErr w:type="spellStart"/>
      <w:r w:rsidR="00D72817">
        <w:t>modelística</w:t>
      </w:r>
      <w:proofErr w:type="spellEnd"/>
      <w:r w:rsidR="00D72817">
        <w:t xml:space="preserve"> não traz uma</w:t>
      </w:r>
      <w:r w:rsidR="000702BF">
        <w:t xml:space="preserve"> contribuição analítica efetiva</w:t>
      </w:r>
      <w:r w:rsidR="006148D3">
        <w:t>, pois</w:t>
      </w:r>
      <w:r w:rsidR="000702BF">
        <w:t xml:space="preserve"> </w:t>
      </w:r>
      <w:r w:rsidR="00EA05C1">
        <w:t xml:space="preserve">envolve tomar </w:t>
      </w:r>
      <w:r w:rsidR="00EE223A">
        <w:t xml:space="preserve">a especialização produtiva como dada, </w:t>
      </w:r>
      <w:r w:rsidR="000702BF">
        <w:t>sube</w:t>
      </w:r>
      <w:r w:rsidR="00964090">
        <w:t>stima</w:t>
      </w:r>
      <w:r w:rsidR="00EE223A">
        <w:t>ndo</w:t>
      </w:r>
      <w:r w:rsidR="00964090">
        <w:t xml:space="preserve"> a plasticidade da produção competitiva</w:t>
      </w:r>
      <w:r w:rsidR="000702BF">
        <w:t xml:space="preserve"> </w:t>
      </w:r>
      <w:r w:rsidR="00964090">
        <w:t>de um país ao longo do tempo. Preferimos um sistema mais simples e claro</w:t>
      </w:r>
      <w:r w:rsidR="00EE223A">
        <w:t xml:space="preserve">: </w:t>
      </w:r>
      <w:r w:rsidR="00964090">
        <w:t>toma</w:t>
      </w:r>
      <w:r w:rsidR="00EE223A">
        <w:t>mos</w:t>
      </w:r>
      <w:r w:rsidR="00964090">
        <w:t xml:space="preserve"> uma única moeda – o dólar – por referência, e um único índice – o índice de preços ao consumidor, tanto nos EUA, quanto no Brasil – como </w:t>
      </w:r>
      <w:r w:rsidR="009418A3">
        <w:t>deflator</w:t>
      </w:r>
      <w:r w:rsidR="00317BB7">
        <w:rPr>
          <w:rStyle w:val="Refdenotaderodap"/>
        </w:rPr>
        <w:footnoteReference w:id="26"/>
      </w:r>
      <w:r w:rsidR="009418A3">
        <w:t xml:space="preserve">. O ponto de partida cronológico do nosso </w:t>
      </w:r>
      <w:r w:rsidR="00964090">
        <w:t xml:space="preserve">cálculo é </w:t>
      </w:r>
      <w:r w:rsidR="009418A3">
        <w:t>a taxa de câmbio nominal no início do Plano Real, em 1</w:t>
      </w:r>
      <w:r w:rsidR="009418A3" w:rsidRPr="009418A3">
        <w:rPr>
          <w:vertAlign w:val="superscript"/>
        </w:rPr>
        <w:t>o</w:t>
      </w:r>
      <w:r w:rsidR="0054778C">
        <w:t>. de julho</w:t>
      </w:r>
      <w:r w:rsidR="001308F1">
        <w:t xml:space="preserve"> de 1994 quando</w:t>
      </w:r>
      <w:r w:rsidR="009418A3">
        <w:t xml:space="preserve"> US$ 1,00 = R$ 1,00</w:t>
      </w:r>
      <w:r w:rsidR="001308F1">
        <w:t>.</w:t>
      </w:r>
      <w:r w:rsidR="00676DEF">
        <w:rPr>
          <w:rStyle w:val="Refdenotaderodap"/>
        </w:rPr>
        <w:footnoteReference w:id="27"/>
      </w:r>
      <w:r w:rsidR="00676DEF">
        <w:t>.</w:t>
      </w:r>
    </w:p>
    <w:p w14:paraId="3012FC4C" w14:textId="0909E73D" w:rsidR="00FA0B1A" w:rsidRDefault="0011297D" w:rsidP="00310B39">
      <w:pPr>
        <w:ind w:firstLine="720"/>
      </w:pPr>
      <w:r>
        <w:t>A evolução do câmbio real de 1</w:t>
      </w:r>
      <w:r w:rsidRPr="0011297D">
        <w:rPr>
          <w:vertAlign w:val="superscript"/>
        </w:rPr>
        <w:t>o</w:t>
      </w:r>
      <w:r w:rsidR="0054778C">
        <w:t xml:space="preserve">. de julho </w:t>
      </w:r>
      <w:r>
        <w:t xml:space="preserve">a 30 de setembro de 2015 encontra-se representada no gráfico anexo ao final deste trabalho. </w:t>
      </w:r>
      <w:r w:rsidR="00317BB7">
        <w:t>Tal como se pode observar no referido gráfico, o único perío</w:t>
      </w:r>
      <w:r w:rsidR="00F60804">
        <w:t>do em que o câmbio real supera “de for</w:t>
      </w:r>
      <w:r w:rsidR="0028487F">
        <w:t>ma consistente” o câmbio do início do Plano Real</w:t>
      </w:r>
      <w:r w:rsidR="00F60804">
        <w:t xml:space="preserve"> é durante o segundo mandato de </w:t>
      </w:r>
      <w:r w:rsidR="00A55AA9">
        <w:t>FHC</w:t>
      </w:r>
      <w:r w:rsidR="00F60804">
        <w:t xml:space="preserve">. Por superação consistente queremos dizer que não há qualquer tendência </w:t>
      </w:r>
      <w:r w:rsidR="0028487F">
        <w:t xml:space="preserve">ou sinal </w:t>
      </w:r>
      <w:r w:rsidR="00F60804">
        <w:t>de valorização</w:t>
      </w:r>
      <w:r w:rsidR="0028487F">
        <w:t xml:space="preserve"> </w:t>
      </w:r>
      <w:r w:rsidR="00114E76">
        <w:t xml:space="preserve">(ou revalorização, após a desvalorização inicial) </w:t>
      </w:r>
      <w:r w:rsidR="0028487F">
        <w:t xml:space="preserve">do real; pelo contrário, a moeda se desvaloriza </w:t>
      </w:r>
      <w:r w:rsidR="00114E76">
        <w:t xml:space="preserve">mais de uma vez e tendencialmente </w:t>
      </w:r>
      <w:r w:rsidR="0028487F">
        <w:t xml:space="preserve">ao longo do período. Ora, se admitimos que as expectativas são baseadas em grande parte na crença de que o futuro reproduzirá o passado recente, é razoável pretender que </w:t>
      </w:r>
      <w:r w:rsidR="00F60804">
        <w:t xml:space="preserve">empresários e exportadores </w:t>
      </w:r>
      <w:r w:rsidR="006E7C4A">
        <w:t>estariam tomando as variações cambiais como portadoras de alguma “</w:t>
      </w:r>
      <w:proofErr w:type="spellStart"/>
      <w:r w:rsidR="006E7C4A">
        <w:t>estruturalidade</w:t>
      </w:r>
      <w:proofErr w:type="spellEnd"/>
      <w:r w:rsidR="006E7C4A">
        <w:t xml:space="preserve">” e ajustando-se às mesmas de acordo com o que propõe a teoria (voltaremos a este ponto logo adiante). </w:t>
      </w:r>
      <w:r w:rsidR="00F60804">
        <w:t xml:space="preserve">Ao longo dos três primeiros anos do mandato de Lula o câmbio real continuará acima </w:t>
      </w:r>
      <w:r w:rsidR="006E7C4A">
        <w:t xml:space="preserve">da unidade. </w:t>
      </w:r>
      <w:r w:rsidR="006E7C4A" w:rsidRPr="006D2AED">
        <w:rPr>
          <w:b/>
        </w:rPr>
        <w:t>Mas, agora, emerge uma tendência clara e inequívoca de valorização</w:t>
      </w:r>
      <w:r w:rsidR="006D2AED" w:rsidRPr="006D2AED">
        <w:rPr>
          <w:b/>
        </w:rPr>
        <w:t>, que se impõe de forma ininterrupta até a crise internacional de 2008</w:t>
      </w:r>
      <w:r w:rsidR="006E7C4A" w:rsidRPr="006D2AED">
        <w:rPr>
          <w:b/>
        </w:rPr>
        <w:t>.</w:t>
      </w:r>
      <w:r w:rsidR="006E7C4A">
        <w:t xml:space="preserve"> </w:t>
      </w:r>
      <w:r w:rsidR="00EE223A">
        <w:t>E o</w:t>
      </w:r>
      <w:r w:rsidR="006D2AED">
        <w:t xml:space="preserve">s efeitos da crise serão fugazes e pouco expressivos no que diz respeito ao câmbio real. Este tangencia a unidade por curto espaço de tempo e rapidamente retorna à trajetória declinante, até atingir seu valor mínimo de </w:t>
      </w:r>
      <w:r w:rsidR="00282096">
        <w:t xml:space="preserve">US$ 0,62 </w:t>
      </w:r>
      <w:r w:rsidR="009201D7">
        <w:t xml:space="preserve">(em termos de câmbio real!) </w:t>
      </w:r>
      <w:r w:rsidR="00282096">
        <w:t>em julho de 2011</w:t>
      </w:r>
      <w:r w:rsidR="006D2AED">
        <w:t>.</w:t>
      </w:r>
      <w:r w:rsidR="00282096">
        <w:t xml:space="preserve"> A partir daí, entra em lenta e discreta trajetória ascendente</w:t>
      </w:r>
      <w:r w:rsidR="00052D51">
        <w:t>, que irá se acelerar ao final de 2014</w:t>
      </w:r>
      <w:r w:rsidR="00313753">
        <w:t xml:space="preserve"> e durante 2015</w:t>
      </w:r>
      <w:r w:rsidR="00052D51">
        <w:t xml:space="preserve">. </w:t>
      </w:r>
    </w:p>
    <w:p w14:paraId="6365CEEB" w14:textId="5BF8B5D2" w:rsidR="00110F80" w:rsidRDefault="00082416" w:rsidP="00310B39">
      <w:pPr>
        <w:ind w:firstLine="720"/>
      </w:pPr>
      <w:r>
        <w:t>Se observamos o quadro global (e, em especial, os anos petistas) vemos</w:t>
      </w:r>
      <w:r w:rsidR="00052D51">
        <w:t xml:space="preserve"> que </w:t>
      </w:r>
      <w:r>
        <w:t>o que caracteriza o real</w:t>
      </w:r>
      <w:r w:rsidR="00313753">
        <w:t xml:space="preserve"> não é apenas a </w:t>
      </w:r>
      <w:r w:rsidR="00313753" w:rsidRPr="00313753">
        <w:rPr>
          <w:b/>
        </w:rPr>
        <w:t>sobrevalorização</w:t>
      </w:r>
      <w:r>
        <w:t xml:space="preserve"> crônica</w:t>
      </w:r>
      <w:r w:rsidR="00313753">
        <w:t xml:space="preserve">, mas a tendência </w:t>
      </w:r>
      <w:r w:rsidR="00EE223A">
        <w:t>à</w:t>
      </w:r>
      <w:r w:rsidR="00313753">
        <w:t xml:space="preserve"> </w:t>
      </w:r>
      <w:r w:rsidR="00313753" w:rsidRPr="00313753">
        <w:rPr>
          <w:b/>
        </w:rPr>
        <w:t>revalorização</w:t>
      </w:r>
      <w:r>
        <w:t xml:space="preserve"> após qualquer choque. E este</w:t>
      </w:r>
      <w:r w:rsidR="00313753">
        <w:t xml:space="preserve"> fenômeno </w:t>
      </w:r>
      <w:r>
        <w:t xml:space="preserve">é tão evidente que, do nosso ponto de vista, </w:t>
      </w:r>
      <w:r w:rsidR="00313753">
        <w:t xml:space="preserve">não poderia </w:t>
      </w:r>
      <w:r w:rsidR="00313753">
        <w:lastRenderedPageBreak/>
        <w:t>deixar de se</w:t>
      </w:r>
      <w:r>
        <w:t xml:space="preserve">r: 1) </w:t>
      </w:r>
      <w:r w:rsidR="006A2E78">
        <w:t>percebido pelo empresariado; 2)</w:t>
      </w:r>
      <w:r>
        <w:t xml:space="preserve"> introduzido em seus sistemas de planejamento; 3) capturado</w:t>
      </w:r>
      <w:r w:rsidR="00313753">
        <w:t xml:space="preserve"> </w:t>
      </w:r>
      <w:r>
        <w:t>em testes est</w:t>
      </w:r>
      <w:r w:rsidR="007C4D64">
        <w:t>atísticos voltados à aferição da existência de relações de causalidade (e</w:t>
      </w:r>
      <w:r>
        <w:t xml:space="preserve"> processos </w:t>
      </w:r>
      <w:proofErr w:type="spellStart"/>
      <w:r>
        <w:t>decisionais</w:t>
      </w:r>
      <w:proofErr w:type="spellEnd"/>
      <w:r w:rsidR="007C4D64">
        <w:t>)</w:t>
      </w:r>
      <w:r w:rsidR="00313753">
        <w:t xml:space="preserve"> </w:t>
      </w:r>
      <w:r w:rsidR="002D2D3D">
        <w:t xml:space="preserve">por defasagens de Granger. </w:t>
      </w:r>
    </w:p>
    <w:p w14:paraId="53BFE902" w14:textId="6F642F00" w:rsidR="00052D51" w:rsidRDefault="007C4D64" w:rsidP="00310B39">
      <w:pPr>
        <w:ind w:firstLine="720"/>
      </w:pPr>
      <w:r>
        <w:t>Com base nestas assertivas, c</w:t>
      </w:r>
      <w:r w:rsidR="00110F80">
        <w:t>onstruímos um teste relativamente</w:t>
      </w:r>
      <w:r>
        <w:t xml:space="preserve"> </w:t>
      </w:r>
      <w:proofErr w:type="gramStart"/>
      <w:r>
        <w:t>simples</w:t>
      </w:r>
      <w:proofErr w:type="gramEnd"/>
      <w:r>
        <w:t xml:space="preserve"> mas que se mostrou extraordinariamente eficaz </w:t>
      </w:r>
      <w:r w:rsidR="00F96EE7">
        <w:t>e significativo. Testamos a relação entre variação do câmbio nominal (que é a variável percebida objetivamente pelos tomadores de decisão) e a variação</w:t>
      </w:r>
      <w:r w:rsidR="00314D4C">
        <w:t xml:space="preserve"> das importações e</w:t>
      </w:r>
      <w:r w:rsidR="00F96EE7">
        <w:t xml:space="preserve"> das exportações nos períodos “1994-2008”, </w:t>
      </w:r>
      <w:r w:rsidR="00FE14EB">
        <w:t>“1994-2014”</w:t>
      </w:r>
      <w:r w:rsidR="00314D4C">
        <w:t>,</w:t>
      </w:r>
      <w:r w:rsidR="00314D4C" w:rsidRPr="00314D4C">
        <w:t xml:space="preserve"> </w:t>
      </w:r>
      <w:r w:rsidR="00314D4C">
        <w:t>“1999-2008”,</w:t>
      </w:r>
      <w:r w:rsidR="00FE14EB">
        <w:t xml:space="preserve"> e “1999-2014”. A relação entre estas variáv</w:t>
      </w:r>
      <w:r w:rsidR="00110F80">
        <w:t xml:space="preserve">eis, contudo, não foi objeto de um único exercício de teste. Na realidade, parte-se do princípio </w:t>
      </w:r>
      <w:r w:rsidR="00FE14EB">
        <w:t>que a variação do câmbio de um determin</w:t>
      </w:r>
      <w:r w:rsidR="00314D4C">
        <w:t>ado período impacta</w:t>
      </w:r>
      <w:r w:rsidR="00FE14EB">
        <w:t xml:space="preserve"> as demais variáveis diversos períodos depois. E isto na medida em que entre a mudança na taxa de câmbio e a conquista de clientes externos (ou de fornecedores externos), a produção dos bens para exportação (ou para importação), o emba</w:t>
      </w:r>
      <w:r w:rsidR="005E32EE">
        <w:t>rque dos mesmos e o recebimento</w:t>
      </w:r>
      <w:r w:rsidR="00FE14EB">
        <w:t xml:space="preserve"> (ou pagamento) dos valores pertinentes </w:t>
      </w:r>
      <w:r w:rsidR="00110F80">
        <w:t xml:space="preserve">há uma defasagem expressiva. O primeiro desafio é, justamente, </w:t>
      </w:r>
      <w:r w:rsidR="00314D4C">
        <w:t xml:space="preserve">identificar a defasagem </w:t>
      </w:r>
      <w:r w:rsidR="00110F80">
        <w:t>que gera</w:t>
      </w:r>
      <w:r w:rsidR="00E67C0D">
        <w:t xml:space="preserve"> a correlação mais</w:t>
      </w:r>
      <w:r w:rsidR="00FE14EB">
        <w:t xml:space="preserve"> signific</w:t>
      </w:r>
      <w:r w:rsidR="00110F80">
        <w:t>ativa</w:t>
      </w:r>
      <w:r w:rsidR="00E67C0D">
        <w:t xml:space="preserve">. </w:t>
      </w:r>
      <w:r w:rsidR="00110F80">
        <w:t xml:space="preserve">Esta defasagem, supúnhamos então, não deveria variar muito entre os períodos pré-definidos para teste. Assim como não deveriam variar os </w:t>
      </w:r>
      <w:r w:rsidR="001342A6" w:rsidRPr="001342A6">
        <w:rPr>
          <w:b/>
        </w:rPr>
        <w:t>sinais</w:t>
      </w:r>
      <w:r w:rsidR="001342A6">
        <w:t xml:space="preserve"> </w:t>
      </w:r>
      <w:r w:rsidR="00110F80">
        <w:t xml:space="preserve">das correlações. </w:t>
      </w:r>
      <w:r w:rsidR="00E67C0D" w:rsidRPr="00110F80">
        <w:rPr>
          <w:b/>
        </w:rPr>
        <w:t xml:space="preserve">Como regra geral, acreditávamos que iríamos obter resultados do tipo clássico: desvalorizações do real </w:t>
      </w:r>
      <w:r w:rsidR="001342A6">
        <w:rPr>
          <w:b/>
        </w:rPr>
        <w:t>alavancam as exportações e deprimem as importações</w:t>
      </w:r>
      <w:r w:rsidR="00E67C0D" w:rsidRPr="00110F80">
        <w:rPr>
          <w:b/>
        </w:rPr>
        <w:t xml:space="preserve">. Não obstante, apostávamos que, com o passar do tempo, dada a tendência à sobrevalorização e revalorização do real, as correlações iriam se tornar menores e menos significativas. </w:t>
      </w:r>
      <w:r w:rsidR="001342A6">
        <w:rPr>
          <w:b/>
        </w:rPr>
        <w:t>Mas nos enganamos</w:t>
      </w:r>
      <w:r w:rsidR="00E67C0D" w:rsidRPr="00110F80">
        <w:rPr>
          <w:b/>
        </w:rPr>
        <w:t xml:space="preserve">. Os resultados foram ainda mais impactantes. </w:t>
      </w:r>
    </w:p>
    <w:p w14:paraId="045AD130" w14:textId="716BFA8C" w:rsidR="00F346B9" w:rsidRDefault="00D04F32" w:rsidP="00ED5EC2">
      <w:pPr>
        <w:ind w:firstLine="720"/>
      </w:pPr>
      <w:r>
        <w:t>Para o período “1994-2008”</w:t>
      </w:r>
      <w:r w:rsidR="00E67C0D">
        <w:t xml:space="preserve"> as correlaçõe</w:t>
      </w:r>
      <w:r w:rsidR="0024064B">
        <w:t>s seguiram o padrão esperado de resposta aos estímulos do câmbio</w:t>
      </w:r>
      <w:r w:rsidR="001636C6">
        <w:t>, mas esta resposta era tão mais robusta quanto maior a defasagem. No caso das exportações, a correlação só alcançava significância inferior a 0,05 (mais exatamente 0,038) com uma defasagem de 33 meses da variação do câmbio nominal (</w:t>
      </w:r>
      <w:proofErr w:type="spellStart"/>
      <w:r w:rsidR="001636C6">
        <w:t>correl</w:t>
      </w:r>
      <w:proofErr w:type="spellEnd"/>
      <w:r w:rsidR="001636C6">
        <w:t xml:space="preserve"> de 0,402). A partir de então crescia em intensidade e significância até um máximo na defasagem de 60 meses. No caso das importações, a correlação só alcançava significância inferior 0,05 (exatamente 0,042) com defasagem de 39 meses (</w:t>
      </w:r>
      <w:proofErr w:type="spellStart"/>
      <w:r w:rsidR="001636C6">
        <w:t>correl</w:t>
      </w:r>
      <w:proofErr w:type="spellEnd"/>
      <w:r w:rsidR="001636C6">
        <w:t xml:space="preserve"> de -0,409). A partir de então crescia em intensidade e significância até </w:t>
      </w:r>
      <w:r w:rsidR="004F33A4">
        <w:t xml:space="preserve">atingir </w:t>
      </w:r>
      <w:r w:rsidR="001636C6">
        <w:t>um máximo na defasagem de 60 meses</w:t>
      </w:r>
      <w:r w:rsidR="004F33A4">
        <w:t xml:space="preserve">, que é utilizada como referência para estruturar </w:t>
      </w:r>
      <w:r w:rsidR="0069320D">
        <w:t>Quadro 4</w:t>
      </w:r>
      <w:r w:rsidR="004F33A4">
        <w:t>, abaixo.</w:t>
      </w:r>
    </w:p>
    <w:p w14:paraId="2B17E1A6" w14:textId="77777777" w:rsidR="000602C7" w:rsidRDefault="000602C7" w:rsidP="0040162F">
      <w:pPr>
        <w:pStyle w:val="Quadros"/>
      </w:pPr>
      <w:r>
        <w:t>Quadro 4</w:t>
      </w:r>
    </w:p>
    <w:p w14:paraId="4E387485" w14:textId="77777777" w:rsidR="00F346B9" w:rsidRDefault="00F346B9" w:rsidP="0040162F">
      <w:pPr>
        <w:pStyle w:val="Quadros"/>
      </w:pPr>
      <w:r>
        <w:t xml:space="preserve">Teste de </w:t>
      </w:r>
      <w:r w:rsidR="000602C7">
        <w:t xml:space="preserve">Correlação entre </w:t>
      </w:r>
      <w:r w:rsidR="00A557E9">
        <w:t xml:space="preserve">Evolução do </w:t>
      </w:r>
      <w:r w:rsidR="000602C7">
        <w:t xml:space="preserve">Câmbio Nominal e </w:t>
      </w:r>
      <w:r w:rsidR="00A557E9">
        <w:t xml:space="preserve">Evolução </w:t>
      </w:r>
    </w:p>
    <w:p w14:paraId="66DAFCA3" w14:textId="088C5D6C" w:rsidR="000602C7" w:rsidRDefault="00F346B9" w:rsidP="002C0BE1">
      <w:pPr>
        <w:pStyle w:val="Quadros"/>
      </w:pPr>
      <w:r>
        <w:t xml:space="preserve">defasada </w:t>
      </w:r>
      <w:r w:rsidR="000602C7">
        <w:t>das Exporta</w:t>
      </w:r>
      <w:r>
        <w:t>ções e das Importações em distintos períodos do Plano Real</w:t>
      </w:r>
    </w:p>
    <w:p w14:paraId="7A1AEFC0" w14:textId="77777777" w:rsidR="0040162F" w:rsidRDefault="00DA43AA" w:rsidP="002C0BE1">
      <w:pPr>
        <w:spacing w:after="0" w:line="240" w:lineRule="auto"/>
        <w:jc w:val="center"/>
      </w:pPr>
      <w:r w:rsidRPr="00DA43AA">
        <w:rPr>
          <w:noProof/>
          <w:lang w:eastAsia="pt-BR"/>
        </w:rPr>
        <w:lastRenderedPageBreak/>
        <w:drawing>
          <wp:inline distT="0" distB="0" distL="0" distR="0" wp14:anchorId="5D5C3694" wp14:editId="35A6BA49">
            <wp:extent cx="4961890" cy="1621790"/>
            <wp:effectExtent l="19050" t="0" r="0" b="0"/>
            <wp:docPr id="5"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srcRect/>
                    <a:stretch>
                      <a:fillRect/>
                    </a:stretch>
                  </pic:blipFill>
                  <pic:spPr bwMode="auto">
                    <a:xfrm>
                      <a:off x="0" y="0"/>
                      <a:ext cx="4961890" cy="1621790"/>
                    </a:xfrm>
                    <a:prstGeom prst="rect">
                      <a:avLst/>
                    </a:prstGeom>
                    <a:noFill/>
                    <a:ln w="9525">
                      <a:noFill/>
                      <a:miter lim="800000"/>
                      <a:headEnd/>
                      <a:tailEnd/>
                    </a:ln>
                  </pic:spPr>
                </pic:pic>
              </a:graphicData>
            </a:graphic>
          </wp:inline>
        </w:drawing>
      </w:r>
    </w:p>
    <w:p w14:paraId="766C8039" w14:textId="6F5475CB" w:rsidR="000602C7" w:rsidRPr="002C0BE1" w:rsidRDefault="00F346B9" w:rsidP="002C0BE1">
      <w:pPr>
        <w:spacing w:after="0" w:line="240" w:lineRule="auto"/>
        <w:jc w:val="center"/>
        <w:rPr>
          <w:sz w:val="20"/>
        </w:rPr>
      </w:pPr>
      <w:r w:rsidRPr="002C0BE1">
        <w:rPr>
          <w:sz w:val="20"/>
        </w:rPr>
        <w:t>FDB</w:t>
      </w:r>
      <w:r w:rsidR="00186C14" w:rsidRPr="002C0BE1">
        <w:rPr>
          <w:rStyle w:val="Refdenotaderodap"/>
          <w:sz w:val="20"/>
        </w:rPr>
        <w:footnoteReference w:id="28"/>
      </w:r>
      <w:r w:rsidR="0040162F" w:rsidRPr="002C0BE1">
        <w:rPr>
          <w:sz w:val="20"/>
        </w:rPr>
        <w:t xml:space="preserve"> Bacen e IBGE </w:t>
      </w:r>
      <w:r w:rsidR="0005168E" w:rsidRPr="0005168E">
        <w:rPr>
          <w:sz w:val="20"/>
        </w:rPr>
        <w:t>http://territoriopaiva.com.br/producao-teorica/artigos-publicados/indicadores-economicos-fee</w:t>
      </w:r>
      <w:r w:rsidR="0005168E">
        <w:rPr>
          <w:sz w:val="20"/>
        </w:rPr>
        <w:t>.</w:t>
      </w:r>
    </w:p>
    <w:p w14:paraId="3B800511" w14:textId="77777777" w:rsidR="002C0BE1" w:rsidRDefault="004F33A4" w:rsidP="00310B39">
      <w:r>
        <w:tab/>
      </w:r>
    </w:p>
    <w:p w14:paraId="394F287B" w14:textId="77777777" w:rsidR="00A557E9" w:rsidRDefault="00186C14" w:rsidP="002C0BE1">
      <w:pPr>
        <w:ind w:firstLine="720"/>
      </w:pPr>
      <w:r>
        <w:t xml:space="preserve">Tal como vimos anteriormente, o </w:t>
      </w:r>
      <w:r w:rsidRPr="00186C14">
        <w:rPr>
          <w:i/>
        </w:rPr>
        <w:t>timing</w:t>
      </w:r>
      <w:r w:rsidR="00A557E9">
        <w:t xml:space="preserve"> entre a evolução </w:t>
      </w:r>
      <w:r>
        <w:t>do câmbio e a entrada (ou a saída) de dólares pela exportação (ou importação) é expressivo, chegando ao auge em cinco anos. Daí que a correlação máxima só é apreendida neste largo espaço de tempo.</w:t>
      </w:r>
      <w:r w:rsidR="00AE288F">
        <w:t xml:space="preserve"> </w:t>
      </w:r>
      <w:r w:rsidR="00AE288F" w:rsidRPr="008358FE">
        <w:rPr>
          <w:b/>
        </w:rPr>
        <w:t>Porém ela varia amplamente</w:t>
      </w:r>
      <w:r w:rsidR="005E32EE">
        <w:rPr>
          <w:b/>
        </w:rPr>
        <w:t xml:space="preserve"> quando a tomamos ao longo </w:t>
      </w:r>
      <w:r w:rsidRPr="008358FE">
        <w:rPr>
          <w:b/>
        </w:rPr>
        <w:t>do Plano Rea</w:t>
      </w:r>
      <w:r w:rsidR="00AE288F" w:rsidRPr="008358FE">
        <w:rPr>
          <w:b/>
        </w:rPr>
        <w:t>l. Mais: ela varia de muito</w:t>
      </w:r>
      <w:r w:rsidRPr="008358FE">
        <w:rPr>
          <w:b/>
        </w:rPr>
        <w:t xml:space="preserve"> expressiva e significativa no período 1994-2008 (</w:t>
      </w:r>
      <w:proofErr w:type="spellStart"/>
      <w:r w:rsidRPr="008358FE">
        <w:rPr>
          <w:b/>
        </w:rPr>
        <w:t>correl</w:t>
      </w:r>
      <w:proofErr w:type="spellEnd"/>
      <w:r w:rsidRPr="008358FE">
        <w:rPr>
          <w:b/>
        </w:rPr>
        <w:t xml:space="preserve"> de X= 0,93 com </w:t>
      </w:r>
      <w:proofErr w:type="spellStart"/>
      <w:r w:rsidRPr="008358FE">
        <w:rPr>
          <w:b/>
        </w:rPr>
        <w:t>sig</w:t>
      </w:r>
      <w:proofErr w:type="spellEnd"/>
      <w:r w:rsidRPr="008358FE">
        <w:rPr>
          <w:b/>
        </w:rPr>
        <w:t xml:space="preserve"> 0,000; </w:t>
      </w:r>
      <w:proofErr w:type="spellStart"/>
      <w:r w:rsidRPr="008358FE">
        <w:rPr>
          <w:b/>
        </w:rPr>
        <w:t>correl</w:t>
      </w:r>
      <w:proofErr w:type="spellEnd"/>
      <w:r w:rsidRPr="008358FE">
        <w:rPr>
          <w:b/>
        </w:rPr>
        <w:t xml:space="preserve"> de M </w:t>
      </w:r>
      <w:r w:rsidR="00AE288F" w:rsidRPr="008358FE">
        <w:rPr>
          <w:b/>
        </w:rPr>
        <w:t xml:space="preserve">= </w:t>
      </w:r>
      <w:r w:rsidRPr="008358FE">
        <w:rPr>
          <w:b/>
        </w:rPr>
        <w:t xml:space="preserve">-0,878 com </w:t>
      </w:r>
      <w:proofErr w:type="spellStart"/>
      <w:r w:rsidRPr="008358FE">
        <w:rPr>
          <w:b/>
        </w:rPr>
        <w:t>sig</w:t>
      </w:r>
      <w:proofErr w:type="spellEnd"/>
      <w:r w:rsidRPr="008358FE">
        <w:rPr>
          <w:b/>
        </w:rPr>
        <w:t xml:space="preserve"> 0,000) a inexpressiva, insignificante e – ainda mais importante! – com sinal inverso ao esperado no período 1999-2014 (</w:t>
      </w:r>
      <w:proofErr w:type="spellStart"/>
      <w:r w:rsidRPr="008358FE">
        <w:rPr>
          <w:b/>
        </w:rPr>
        <w:t>correl</w:t>
      </w:r>
      <w:proofErr w:type="spellEnd"/>
      <w:r w:rsidRPr="008358FE">
        <w:rPr>
          <w:b/>
        </w:rPr>
        <w:t xml:space="preserve"> </w:t>
      </w:r>
      <w:r w:rsidR="002D3FDD" w:rsidRPr="008358FE">
        <w:rPr>
          <w:b/>
        </w:rPr>
        <w:t xml:space="preserve">de X = </w:t>
      </w:r>
      <w:r w:rsidRPr="008358FE">
        <w:rPr>
          <w:b/>
        </w:rPr>
        <w:t xml:space="preserve">-0,167 </w:t>
      </w:r>
      <w:r w:rsidR="00AE288F" w:rsidRPr="008358FE">
        <w:rPr>
          <w:b/>
        </w:rPr>
        <w:t xml:space="preserve">com </w:t>
      </w:r>
      <w:proofErr w:type="spellStart"/>
      <w:r w:rsidR="00AE288F" w:rsidRPr="008358FE">
        <w:rPr>
          <w:b/>
        </w:rPr>
        <w:t>sig</w:t>
      </w:r>
      <w:proofErr w:type="spellEnd"/>
      <w:r w:rsidR="00AE288F" w:rsidRPr="008358FE">
        <w:rPr>
          <w:b/>
        </w:rPr>
        <w:t xml:space="preserve"> 0,290; </w:t>
      </w:r>
      <w:proofErr w:type="spellStart"/>
      <w:r w:rsidR="00AE288F" w:rsidRPr="008358FE">
        <w:rPr>
          <w:b/>
        </w:rPr>
        <w:t>correl</w:t>
      </w:r>
      <w:proofErr w:type="spellEnd"/>
      <w:r w:rsidR="00AE288F" w:rsidRPr="008358FE">
        <w:rPr>
          <w:b/>
        </w:rPr>
        <w:t xml:space="preserve"> de M</w:t>
      </w:r>
      <w:r w:rsidR="005E32EE">
        <w:rPr>
          <w:b/>
        </w:rPr>
        <w:t>=</w:t>
      </w:r>
      <w:r w:rsidR="00AE288F" w:rsidRPr="008358FE">
        <w:rPr>
          <w:b/>
        </w:rPr>
        <w:t xml:space="preserve">0,197 com </w:t>
      </w:r>
      <w:proofErr w:type="spellStart"/>
      <w:r w:rsidR="00AE288F" w:rsidRPr="008358FE">
        <w:rPr>
          <w:b/>
        </w:rPr>
        <w:t>sig</w:t>
      </w:r>
      <w:proofErr w:type="spellEnd"/>
      <w:r w:rsidR="00AE288F" w:rsidRPr="008358FE">
        <w:rPr>
          <w:b/>
        </w:rPr>
        <w:t xml:space="preserve"> 0,212)</w:t>
      </w:r>
      <w:r w:rsidR="008358FE">
        <w:rPr>
          <w:b/>
        </w:rPr>
        <w:t>.</w:t>
      </w:r>
      <w:r w:rsidR="00AE288F">
        <w:t xml:space="preserve"> </w:t>
      </w:r>
      <w:r w:rsidR="008358FE">
        <w:t>E</w:t>
      </w:r>
      <w:r w:rsidR="00A557E9">
        <w:t xml:space="preserve">, tal como se pode observar no Quadro 4, esta </w:t>
      </w:r>
      <w:r w:rsidR="008358FE">
        <w:t xml:space="preserve">perda de expressão da </w:t>
      </w:r>
      <w:r w:rsidR="00A557E9">
        <w:t>correlação entre a evolução do câmbio e das exportações e importações é paulatina. O que impõe o questionamento: por</w:t>
      </w:r>
      <w:r w:rsidR="006D59A7">
        <w:t xml:space="preserve"> quê</w:t>
      </w:r>
      <w:r w:rsidR="00A557E9">
        <w:t>?</w:t>
      </w:r>
    </w:p>
    <w:p w14:paraId="2CD0BF37" w14:textId="2E1B95A6" w:rsidR="004F33A4" w:rsidRDefault="00A557E9" w:rsidP="00310B39">
      <w:pPr>
        <w:ind w:firstLine="720"/>
      </w:pPr>
      <w:r>
        <w:t xml:space="preserve">Quer </w:t>
      </w:r>
      <w:proofErr w:type="gramStart"/>
      <w:r>
        <w:t>nos parecer</w:t>
      </w:r>
      <w:proofErr w:type="gramEnd"/>
      <w:r>
        <w:t xml:space="preserve"> que a resposta se encontre na evolução do câmbio real representado no Gráfico anexo a este trabalho. Tal </w:t>
      </w:r>
      <w:r w:rsidR="005E32EE">
        <w:t xml:space="preserve">como vimos na seção segunda, a </w:t>
      </w:r>
      <w:r>
        <w:t xml:space="preserve">tendência à apreciação </w:t>
      </w:r>
      <w:r w:rsidR="000D601C">
        <w:t xml:space="preserve">da moeda interna </w:t>
      </w:r>
      <w:r>
        <w:t xml:space="preserve">é da </w:t>
      </w:r>
      <w:r w:rsidRPr="00A557E9">
        <w:rPr>
          <w:b/>
        </w:rPr>
        <w:t>lógica</w:t>
      </w:r>
      <w:r>
        <w:t xml:space="preserve"> do Plano Real</w:t>
      </w:r>
      <w:r w:rsidR="000D601C">
        <w:t>;</w:t>
      </w:r>
      <w:r w:rsidR="00CF6E73">
        <w:t xml:space="preserve"> mas esta lógica só vai</w:t>
      </w:r>
      <w:r>
        <w:t xml:space="preserve"> </w:t>
      </w:r>
      <w:r w:rsidR="008622F6">
        <w:t xml:space="preserve">se realizar </w:t>
      </w:r>
      <w:r>
        <w:t>e</w:t>
      </w:r>
      <w:r w:rsidR="008622F6">
        <w:t xml:space="preserve">m sua plenitude quando o Bacen assumir sua máxima autonomia nos anos petistas. </w:t>
      </w:r>
      <w:r w:rsidR="000D601C">
        <w:t>Ora, tal como se pode observar no gráfico</w:t>
      </w:r>
      <w:r w:rsidR="005E32EE">
        <w:t>,</w:t>
      </w:r>
      <w:r w:rsidR="000D601C">
        <w:t xml:space="preserve"> até 2003 </w:t>
      </w:r>
      <w:r w:rsidR="00B6624C">
        <w:t>(</w:t>
      </w:r>
      <w:r w:rsidR="000D601C">
        <w:t>e, por “inércia racional” no padrão de formação de expectativas, até 2008, como o demonstra a elevada correlação obtida no Quadro 4</w:t>
      </w:r>
      <w:r w:rsidR="00B6624C">
        <w:t xml:space="preserve">) </w:t>
      </w:r>
      <w:r w:rsidR="000D601C">
        <w:t xml:space="preserve">exportadores e importadores operando do Brasil </w:t>
      </w:r>
      <w:r w:rsidR="00B6624C">
        <w:t xml:space="preserve">tomavam </w:t>
      </w:r>
      <w:r w:rsidR="000D601C">
        <w:t xml:space="preserve">o câmbio de </w:t>
      </w:r>
      <w:r w:rsidR="00B6624C">
        <w:t xml:space="preserve">um determinado período como estável e, por extensão, como referência passível de projeção para suas decisões de importação e exportação vários períodos à frente. </w:t>
      </w:r>
      <w:r w:rsidR="00B6624C" w:rsidRPr="00B6624C">
        <w:rPr>
          <w:b/>
        </w:rPr>
        <w:t>Esta confiança vai diminuindo ao longo do tempo, até tornar-se nula ou mesmo negativa.</w:t>
      </w:r>
      <w:r w:rsidR="00B6624C">
        <w:t xml:space="preserve"> Dizemos nula porque, ao nos depararmos com o estranho resultado de uma correlação inversa à projetada, testamos a possibilidade do mesmo ser fruto do comportamento atípico do preço das commodities </w:t>
      </w:r>
      <w:r w:rsidR="00B6624C" w:rsidRPr="00B6624C">
        <w:rPr>
          <w:i/>
        </w:rPr>
        <w:t>vis-à-vis</w:t>
      </w:r>
      <w:r w:rsidR="001C0A5C">
        <w:t xml:space="preserve"> a taxa de câmbio durante alguns </w:t>
      </w:r>
      <w:r w:rsidR="001C0A5C">
        <w:lastRenderedPageBreak/>
        <w:t xml:space="preserve">trimestres da crise 08-10. Excluímos do cálculo, assim, os trimestres mais problemáticos e obtivemos novas correlações que foram registradas nas </w:t>
      </w:r>
      <w:r w:rsidR="00B6624C">
        <w:t xml:space="preserve">colunas </w:t>
      </w:r>
      <w:r w:rsidR="00B6624C" w:rsidRPr="00B6624C">
        <w:rPr>
          <w:b/>
        </w:rPr>
        <w:t>199</w:t>
      </w:r>
      <w:r w:rsidR="00B6624C">
        <w:rPr>
          <w:b/>
        </w:rPr>
        <w:t>4</w:t>
      </w:r>
      <w:r w:rsidR="00B6624C" w:rsidRPr="00B6624C">
        <w:rPr>
          <w:b/>
        </w:rPr>
        <w:t>-2014*</w:t>
      </w:r>
      <w:r w:rsidR="00B6624C">
        <w:t xml:space="preserve"> e </w:t>
      </w:r>
      <w:r w:rsidR="00B6624C" w:rsidRPr="00B6624C">
        <w:rPr>
          <w:b/>
        </w:rPr>
        <w:t>1999-2014*</w:t>
      </w:r>
      <w:r w:rsidR="001C0A5C">
        <w:rPr>
          <w:b/>
        </w:rPr>
        <w:t xml:space="preserve">. </w:t>
      </w:r>
      <w:r w:rsidR="001C0A5C">
        <w:t>Para o período mais longo, o único desdobramento foi a elevação da magnitude da dimensão absoluta da correla</w:t>
      </w:r>
      <w:r w:rsidR="005E32EE">
        <w:t>ção. Mas para o período 1999-20</w:t>
      </w:r>
      <w:r w:rsidR="001C0A5C">
        <w:t>14, a nova correlação perde significância e tende a nulidade, com ênfase para as exportações (</w:t>
      </w:r>
      <w:proofErr w:type="spellStart"/>
      <w:r w:rsidR="001C0A5C">
        <w:t>correl</w:t>
      </w:r>
      <w:proofErr w:type="spellEnd"/>
      <w:r w:rsidR="001C0A5C">
        <w:t xml:space="preserve"> de -0,074 e </w:t>
      </w:r>
      <w:proofErr w:type="spellStart"/>
      <w:r w:rsidR="001C0A5C">
        <w:t>sig</w:t>
      </w:r>
      <w:proofErr w:type="spellEnd"/>
      <w:r w:rsidR="001C0A5C">
        <w:t xml:space="preserve"> de 0,677 para X; </w:t>
      </w:r>
      <w:proofErr w:type="spellStart"/>
      <w:r w:rsidR="001C0A5C">
        <w:t>correl</w:t>
      </w:r>
      <w:proofErr w:type="spellEnd"/>
      <w:r w:rsidR="001C0A5C">
        <w:t xml:space="preserve"> de 0,117 e </w:t>
      </w:r>
      <w:proofErr w:type="spellStart"/>
      <w:r w:rsidR="001C0A5C">
        <w:t>sig</w:t>
      </w:r>
      <w:proofErr w:type="spellEnd"/>
      <w:r w:rsidR="001C0A5C">
        <w:t xml:space="preserve"> de 0,509 para M). </w:t>
      </w:r>
      <w:r w:rsidR="00555B82" w:rsidRPr="00182DEC">
        <w:rPr>
          <w:b/>
        </w:rPr>
        <w:t>O que significa isto? Que</w:t>
      </w:r>
      <w:r w:rsidR="00F809BE">
        <w:rPr>
          <w:b/>
        </w:rPr>
        <w:t>,</w:t>
      </w:r>
      <w:r w:rsidR="00555B82" w:rsidRPr="00182DEC">
        <w:rPr>
          <w:b/>
        </w:rPr>
        <w:t xml:space="preserve"> num período de exatos cinco anos</w:t>
      </w:r>
      <w:r w:rsidR="00F809BE">
        <w:rPr>
          <w:b/>
        </w:rPr>
        <w:t>,</w:t>
      </w:r>
      <w:r w:rsidR="00555B82" w:rsidRPr="00182DEC">
        <w:rPr>
          <w:b/>
        </w:rPr>
        <w:t xml:space="preserve"> agentes que davam grande importância ao câmbio deixaram de levar em consideração o preço na determinação de quanto vão vender ou comprar? Evidentemente não! Significa que deixaram de crer que qualquer depreciação do câmbio seja estável e passaram a projetar que, a qualquer depreciação, se siga um conjunto de apreciações, de forma que, a médio prazo, só caiba diminuir as exportações, e ampliar as importações. </w:t>
      </w:r>
      <w:r w:rsidR="00655BFA">
        <w:rPr>
          <w:b/>
        </w:rPr>
        <w:t>Donde se conclui que as</w:t>
      </w:r>
      <w:r w:rsidR="00555B82" w:rsidRPr="00182DEC">
        <w:rPr>
          <w:b/>
        </w:rPr>
        <w:t xml:space="preserve"> </w:t>
      </w:r>
      <w:r w:rsidR="00182DEC" w:rsidRPr="00182DEC">
        <w:rPr>
          <w:b/>
        </w:rPr>
        <w:t>estranhas correlações</w:t>
      </w:r>
      <w:r w:rsidR="00555B82" w:rsidRPr="00182DEC">
        <w:rPr>
          <w:b/>
        </w:rPr>
        <w:t xml:space="preserve"> </w:t>
      </w:r>
      <w:r w:rsidR="00182DEC" w:rsidRPr="00182DEC">
        <w:rPr>
          <w:b/>
        </w:rPr>
        <w:t xml:space="preserve">das exportações e </w:t>
      </w:r>
      <w:r w:rsidR="00655BFA">
        <w:rPr>
          <w:b/>
        </w:rPr>
        <w:t>das importações no período recente</w:t>
      </w:r>
      <w:r w:rsidR="00182DEC" w:rsidRPr="00182DEC">
        <w:rPr>
          <w:b/>
        </w:rPr>
        <w:t xml:space="preserve"> são</w:t>
      </w:r>
      <w:r w:rsidR="00655BFA">
        <w:rPr>
          <w:b/>
        </w:rPr>
        <w:t xml:space="preserve">, antes, com o tempo do que propriamente </w:t>
      </w:r>
      <w:r w:rsidR="00182DEC" w:rsidRPr="00182DEC">
        <w:rPr>
          <w:b/>
        </w:rPr>
        <w:t>com o câmbio.</w:t>
      </w:r>
      <w:r w:rsidR="00182DEC">
        <w:t xml:space="preserve"> </w:t>
      </w:r>
    </w:p>
    <w:p w14:paraId="5F447439" w14:textId="77777777" w:rsidR="00F809BE" w:rsidRDefault="00182DEC" w:rsidP="00310B39">
      <w:r>
        <w:tab/>
      </w:r>
      <w:r w:rsidR="00F809BE">
        <w:t xml:space="preserve">O comércio exterior </w:t>
      </w:r>
      <w:r w:rsidR="00EC51AA">
        <w:t>não será o único espaço onde se</w:t>
      </w:r>
      <w:r w:rsidR="00F809BE">
        <w:t xml:space="preserve"> processará esta verdadeira revolução no padrão de formação de expectativas. Ele contaminará todo o empresariado, minando, pouco a po</w:t>
      </w:r>
      <w:r w:rsidR="0078272C">
        <w:t>uco, as chances de sucesso d</w:t>
      </w:r>
      <w:r w:rsidR="00F809BE">
        <w:t>a política industrial</w:t>
      </w:r>
      <w:r w:rsidR="0078272C">
        <w:t xml:space="preserve"> (PI) adotada. Uma PI, </w:t>
      </w:r>
      <w:r w:rsidR="00F809BE">
        <w:t xml:space="preserve">que, como regra geral, parece </w:t>
      </w:r>
      <w:r w:rsidR="00F809BE" w:rsidRPr="0078272C">
        <w:rPr>
          <w:b/>
        </w:rPr>
        <w:t>superestimar</w:t>
      </w:r>
      <w:r w:rsidR="00F809BE">
        <w:t xml:space="preserve"> a eficác</w:t>
      </w:r>
      <w:r w:rsidR="00EC51AA">
        <w:t xml:space="preserve">ia dos instrumentos </w:t>
      </w:r>
      <w:proofErr w:type="spellStart"/>
      <w:r w:rsidR="00EC51AA" w:rsidRPr="00EC51AA">
        <w:rPr>
          <w:b/>
        </w:rPr>
        <w:t>cepalinos</w:t>
      </w:r>
      <w:proofErr w:type="spellEnd"/>
      <w:r w:rsidR="00EC51AA">
        <w:t xml:space="preserve"> tradicionais</w:t>
      </w:r>
      <w:r w:rsidR="00F809BE">
        <w:t xml:space="preserve"> (tributários, tarifários,</w:t>
      </w:r>
      <w:r w:rsidR="0078272C">
        <w:t xml:space="preserve"> financei</w:t>
      </w:r>
      <w:r w:rsidR="00EC51AA">
        <w:t xml:space="preserve">ros, compras públicas, </w:t>
      </w:r>
      <w:proofErr w:type="spellStart"/>
      <w:r w:rsidR="00EC51AA">
        <w:t>etc</w:t>
      </w:r>
      <w:proofErr w:type="spellEnd"/>
      <w:r w:rsidR="0078272C">
        <w:t xml:space="preserve">) e a eficácia dos instrumentos </w:t>
      </w:r>
      <w:proofErr w:type="spellStart"/>
      <w:r w:rsidR="0078272C" w:rsidRPr="0078272C">
        <w:rPr>
          <w:b/>
        </w:rPr>
        <w:t>neo-schumpterianos</w:t>
      </w:r>
      <w:proofErr w:type="spellEnd"/>
      <w:r w:rsidR="0078272C">
        <w:t xml:space="preserve"> (em especial, o apoio ao desenvolvimento de P&amp;D dentro das firmas</w:t>
      </w:r>
      <w:r w:rsidR="00351376">
        <w:rPr>
          <w:rStyle w:val="Refdenotaderodap"/>
        </w:rPr>
        <w:footnoteReference w:id="29"/>
      </w:r>
      <w:r w:rsidR="0078272C">
        <w:t xml:space="preserve"> </w:t>
      </w:r>
      <w:r w:rsidR="00EC51AA">
        <w:t xml:space="preserve">ou em </w:t>
      </w:r>
      <w:r w:rsidR="0078272C">
        <w:t xml:space="preserve">sistemas </w:t>
      </w:r>
      <w:proofErr w:type="spellStart"/>
      <w:r w:rsidR="0078272C">
        <w:t>inovativos</w:t>
      </w:r>
      <w:proofErr w:type="spellEnd"/>
      <w:r w:rsidR="0078272C">
        <w:t xml:space="preserve"> territoriais) e </w:t>
      </w:r>
      <w:r w:rsidR="00EC51AA">
        <w:t xml:space="preserve">a </w:t>
      </w:r>
      <w:r w:rsidR="0078272C" w:rsidRPr="0078272C">
        <w:rPr>
          <w:b/>
        </w:rPr>
        <w:t>subestimar</w:t>
      </w:r>
      <w:r w:rsidR="0078272C">
        <w:t xml:space="preserve"> o papel das </w:t>
      </w:r>
      <w:r w:rsidR="0078272C" w:rsidRPr="007D082E">
        <w:rPr>
          <w:b/>
        </w:rPr>
        <w:t>expectativas</w:t>
      </w:r>
      <w:r w:rsidR="0078272C">
        <w:t xml:space="preserve"> dos empresários com relação ao </w:t>
      </w:r>
      <w:r w:rsidR="0078272C" w:rsidRPr="007D082E">
        <w:rPr>
          <w:b/>
        </w:rPr>
        <w:t>mercado</w:t>
      </w:r>
      <w:r w:rsidR="0078272C">
        <w:t xml:space="preserve"> </w:t>
      </w:r>
      <w:r w:rsidR="0078272C" w:rsidRPr="007D082E">
        <w:rPr>
          <w:b/>
        </w:rPr>
        <w:t>futuro</w:t>
      </w:r>
      <w:r w:rsidR="0078272C">
        <w:t xml:space="preserve"> na determinação de seus projetos de investimento efetivo. </w:t>
      </w:r>
      <w:r w:rsidR="0078272C" w:rsidRPr="00AD350B">
        <w:t xml:space="preserve">A trajetória do câmbio no Brasil </w:t>
      </w:r>
      <w:r w:rsidR="00AD350B" w:rsidRPr="00AD350B">
        <w:t xml:space="preserve">tornava, de forma crescente, qualquer investimento produtivo na indústria de transformação ao longo dos anos petistas função direta de uma aposta na continuidade das políticas de defesa do mercado interno instituídas por aqueles mesmos governos; vale dizer, de </w:t>
      </w:r>
      <w:r w:rsidR="00AD350B" w:rsidRPr="007D082E">
        <w:rPr>
          <w:b/>
        </w:rPr>
        <w:t>uma aposta na (e do apoio empresarial à) reeleição da esquerda.</w:t>
      </w:r>
      <w:r w:rsidR="00AD350B" w:rsidRPr="00AD350B">
        <w:t xml:space="preserve"> Uma quase contradição em termos. Na dúvida, melhor não investir. Ou não? </w:t>
      </w:r>
      <w:r w:rsidR="00351376">
        <w:t>Para que se possa responder a esta pergunta, precisamos investigar as consequências da apreciação sobre a evolução de salários e lucros nos governos petistas.</w:t>
      </w:r>
    </w:p>
    <w:p w14:paraId="602BA757" w14:textId="48999F53" w:rsidR="00AC53B1" w:rsidRDefault="00EC51AA" w:rsidP="00310B39">
      <w:r>
        <w:tab/>
      </w:r>
      <w:r w:rsidR="006D49CF">
        <w:t>Tal como vimos na primeira se</w:t>
      </w:r>
      <w:r w:rsidR="00AC53B1">
        <w:t>ção,</w:t>
      </w:r>
      <w:r w:rsidR="006D49CF">
        <w:t xml:space="preserve"> a apreciação tem três consequências básicas</w:t>
      </w:r>
      <w:r w:rsidR="00AC53B1">
        <w:t xml:space="preserve"> sobre os preços</w:t>
      </w:r>
      <w:r w:rsidR="006D49CF">
        <w:t>: 1) deprime o preço dos insumos importados e, por extensão, os custos diretos e o</w:t>
      </w:r>
      <w:r w:rsidR="004A052C">
        <w:t>s</w:t>
      </w:r>
      <w:r w:rsidR="006D49CF">
        <w:t xml:space="preserve"> </w:t>
      </w:r>
      <w:r w:rsidR="006D49CF">
        <w:lastRenderedPageBreak/>
        <w:t>do conjunto dos setores importadores; 2) expõe à concorrência externa, deprime o grau de monopólio e a rentabilidade da indústria de transformação; 3) amplia o rendimento real do</w:t>
      </w:r>
      <w:r w:rsidR="00B0425B">
        <w:t>s</w:t>
      </w:r>
      <w:r w:rsidR="006D49CF">
        <w:t xml:space="preserve"> trabalhador</w:t>
      </w:r>
      <w:r w:rsidR="00B0425B">
        <w:t>es</w:t>
      </w:r>
      <w:r w:rsidR="006D49CF">
        <w:t xml:space="preserve"> que passa</w:t>
      </w:r>
      <w:r w:rsidR="00B0425B">
        <w:t>m</w:t>
      </w:r>
      <w:r w:rsidR="006D49CF">
        <w:t xml:space="preserve"> a ter acess</w:t>
      </w:r>
      <w:r w:rsidR="00B0425B">
        <w:t xml:space="preserve">o a um conjunto de bens de consumo importados a preços inferiores aos internos. </w:t>
      </w:r>
    </w:p>
    <w:p w14:paraId="05BF9F62" w14:textId="3E979AC8" w:rsidR="00F625A7" w:rsidRDefault="00AC53B1" w:rsidP="00310B39">
      <w:pPr>
        <w:ind w:firstLine="720"/>
      </w:pPr>
      <w:r>
        <w:t xml:space="preserve">Ora, uma vez posta sob controle a “inflação importada” dos dois últimos anos do segundo mandato de </w:t>
      </w:r>
      <w:r w:rsidR="00A55AA9">
        <w:t>FHC</w:t>
      </w:r>
      <w:r>
        <w:t xml:space="preserve">, começou a pesar sobre o PT uma grave questão: </w:t>
      </w:r>
      <w:r w:rsidRPr="00112A97">
        <w:t>como realiz</w:t>
      </w:r>
      <w:r w:rsidR="00E318CD" w:rsidRPr="00112A97">
        <w:t xml:space="preserve">ar seus compromissos programáticos e de campanha </w:t>
      </w:r>
      <w:r w:rsidR="00112A97" w:rsidRPr="00112A97">
        <w:t>em torno da</w:t>
      </w:r>
      <w:r w:rsidRPr="00112A97">
        <w:t xml:space="preserve"> distribuição de renda com um Estado desidratado pelas privatizações, pela LRF, </w:t>
      </w:r>
      <w:r w:rsidR="00112A97" w:rsidRPr="00112A97">
        <w:t>pela virtual independência do Bacen (</w:t>
      </w:r>
      <w:r w:rsidRPr="00112A97">
        <w:t xml:space="preserve">sem controle de juros e </w:t>
      </w:r>
      <w:r w:rsidR="00112A97" w:rsidRPr="00112A97">
        <w:t xml:space="preserve">do </w:t>
      </w:r>
      <w:r w:rsidRPr="00112A97">
        <w:t>câmbio</w:t>
      </w:r>
      <w:r w:rsidR="00112A97" w:rsidRPr="00112A97">
        <w:t>, portanto)</w:t>
      </w:r>
      <w:r w:rsidR="004A052C">
        <w:t xml:space="preserve"> e </w:t>
      </w:r>
      <w:r w:rsidRPr="00112A97">
        <w:t>sem maioria Congressual? A resposta mais fácil logo apareceu:</w:t>
      </w:r>
      <w:r w:rsidRPr="00285170">
        <w:rPr>
          <w:b/>
        </w:rPr>
        <w:t xml:space="preserve"> utilizando a ancoragem monetário-cambial para maximizar a efetividade (tornar real) os ganhos nominais de </w:t>
      </w:r>
      <w:r w:rsidR="00285170" w:rsidRPr="00285170">
        <w:rPr>
          <w:b/>
        </w:rPr>
        <w:t xml:space="preserve">salários </w:t>
      </w:r>
      <w:r w:rsidR="00285170" w:rsidRPr="00112A97">
        <w:t>e demais rendimentos (aposentadorias e demais transferências) dos trabalhadores.</w:t>
      </w:r>
      <w:r w:rsidR="00285170">
        <w:t xml:space="preserve"> </w:t>
      </w:r>
    </w:p>
    <w:p w14:paraId="23521FDC" w14:textId="4A8BC537" w:rsidR="00AF03F7" w:rsidRPr="00A44CE3" w:rsidRDefault="00112A97" w:rsidP="00310B39">
      <w:pPr>
        <w:rPr>
          <w:b/>
        </w:rPr>
      </w:pPr>
      <w:r>
        <w:tab/>
        <w:t xml:space="preserve">Na realidade, o conjunto das políticas redistributivas do PT formam uma unidade que se expressa numa vigorosa e espraiada (em termos territoriais) elevação da demanda por </w:t>
      </w:r>
      <w:r w:rsidRPr="00112A97">
        <w:rPr>
          <w:i/>
        </w:rPr>
        <w:t>não</w:t>
      </w:r>
      <w:r>
        <w:t>-</w:t>
      </w:r>
      <w:proofErr w:type="spellStart"/>
      <w:r w:rsidRPr="00112A97">
        <w:rPr>
          <w:i/>
        </w:rPr>
        <w:t>tradables</w:t>
      </w:r>
      <w:proofErr w:type="spellEnd"/>
      <w:r>
        <w:t xml:space="preserve">, com ênfase em serviços altamente empregadores. Daí o elevado multiplicador do emprego </w:t>
      </w:r>
      <w:r w:rsidR="00706071">
        <w:t>(</w:t>
      </w:r>
      <w:r>
        <w:t>e a rápida popularidade conquistada por Lula e sua política econômica</w:t>
      </w:r>
      <w:r w:rsidR="00706071">
        <w:t xml:space="preserve">) que amplifica a escassez de </w:t>
      </w:r>
      <w:r w:rsidR="00C5016A">
        <w:t>mão de obra</w:t>
      </w:r>
      <w:r w:rsidR="00706071">
        <w:t xml:space="preserve"> e a elevação da taxa nominal</w:t>
      </w:r>
      <w:r w:rsidR="004A052C">
        <w:t xml:space="preserve"> de salários</w:t>
      </w:r>
      <w:r w:rsidR="00CB2071">
        <w:t>. Sem a ancoragem cambial – que impede a indústria de transformação de repassar a elevação dos custos para os preços – a pressão salarial reacenderia a espiral inflacionária</w:t>
      </w:r>
      <w:r w:rsidR="006E18A9">
        <w:rPr>
          <w:rStyle w:val="Refdenotaderodap"/>
        </w:rPr>
        <w:footnoteReference w:id="30"/>
      </w:r>
      <w:r w:rsidR="00CB2071">
        <w:t xml:space="preserve">. Mas na presença da âncora </w:t>
      </w:r>
      <w:r w:rsidR="00CB2071" w:rsidRPr="00A44CE3">
        <w:rPr>
          <w:b/>
        </w:rPr>
        <w:t xml:space="preserve">o </w:t>
      </w:r>
      <w:r w:rsidR="006E18A9" w:rsidRPr="00A44CE3">
        <w:rPr>
          <w:b/>
        </w:rPr>
        <w:t xml:space="preserve">principal resultado é o </w:t>
      </w:r>
      <w:r w:rsidR="00CB2071" w:rsidRPr="00A44CE3">
        <w:rPr>
          <w:b/>
        </w:rPr>
        <w:t>duplo acicate sobre a rentabilidade da indústria. E o</w:t>
      </w:r>
      <w:r w:rsidR="006E18A9" w:rsidRPr="00A44CE3">
        <w:rPr>
          <w:b/>
        </w:rPr>
        <w:t xml:space="preserve"> desdobramento </w:t>
      </w:r>
      <w:r w:rsidR="00CB2071" w:rsidRPr="00A44CE3">
        <w:rPr>
          <w:b/>
        </w:rPr>
        <w:t>é a</w:t>
      </w:r>
      <w:r w:rsidR="00D90E28" w:rsidRPr="00A44CE3">
        <w:rPr>
          <w:b/>
        </w:rPr>
        <w:t xml:space="preserve"> </w:t>
      </w:r>
      <w:proofErr w:type="spellStart"/>
      <w:r w:rsidR="00D90E28" w:rsidRPr="00A44CE3">
        <w:rPr>
          <w:b/>
        </w:rPr>
        <w:t>primarização</w:t>
      </w:r>
      <w:proofErr w:type="spellEnd"/>
      <w:r w:rsidR="00D90E28" w:rsidRPr="00A44CE3">
        <w:rPr>
          <w:b/>
        </w:rPr>
        <w:t xml:space="preserve"> da pauta de exportação e a</w:t>
      </w:r>
      <w:r w:rsidR="00CB2071" w:rsidRPr="00A44CE3">
        <w:rPr>
          <w:b/>
        </w:rPr>
        <w:t xml:space="preserve"> </w:t>
      </w:r>
      <w:r w:rsidR="00051800" w:rsidRPr="00A44CE3">
        <w:rPr>
          <w:b/>
        </w:rPr>
        <w:t xml:space="preserve">aceleração da </w:t>
      </w:r>
      <w:r w:rsidR="00CB2071" w:rsidRPr="00A44CE3">
        <w:rPr>
          <w:b/>
        </w:rPr>
        <w:t>desindustrialização</w:t>
      </w:r>
      <w:r w:rsidR="00D90E28" w:rsidRPr="00A44CE3">
        <w:rPr>
          <w:b/>
        </w:rPr>
        <w:t xml:space="preserve">, que já se encontrava em curso pela exposição competitiva. </w:t>
      </w:r>
    </w:p>
    <w:p w14:paraId="209D09AC" w14:textId="48E99561" w:rsidR="00AF03F7" w:rsidRDefault="00A44CE3" w:rsidP="00310B39">
      <w:pPr>
        <w:ind w:firstLine="720"/>
      </w:pPr>
      <w:r>
        <w:t>Estas</w:t>
      </w:r>
      <w:r w:rsidR="00D90E28">
        <w:t xml:space="preserve"> conseq</w:t>
      </w:r>
      <w:r w:rsidR="00224D57">
        <w:t xml:space="preserve">uências </w:t>
      </w:r>
      <w:r w:rsidR="00D90E28">
        <w:t xml:space="preserve">não só eram previsíveis como foram apontadas e mensuradas (através da Matriz de Insumo Produto) por economistas dos mais diversos matizes </w:t>
      </w:r>
      <w:r w:rsidR="00027656">
        <w:t xml:space="preserve">teóricos e </w:t>
      </w:r>
      <w:r w:rsidR="00D90E28">
        <w:t>ideológicos</w:t>
      </w:r>
      <w:r w:rsidR="00027656">
        <w:t xml:space="preserve">. E se realizaram plenamente com a paulatina queda da taxa de crescimento dos primeiros anos da década de 10. Não obstante, </w:t>
      </w:r>
      <w:r>
        <w:t xml:space="preserve">tais </w:t>
      </w:r>
      <w:r w:rsidR="00CF1F2C">
        <w:t xml:space="preserve">consequências </w:t>
      </w:r>
      <w:r w:rsidR="00027656">
        <w:t>foram e continuam sendo negadas por economistas dos mais diversos matizes teórico-ideológicos interessados na manutençã</w:t>
      </w:r>
      <w:r w:rsidR="00CF1F2C">
        <w:t>o do câmbio apreciado.</w:t>
      </w:r>
      <w:r w:rsidR="00027656">
        <w:t xml:space="preserve"> Como pode ser? </w:t>
      </w:r>
    </w:p>
    <w:p w14:paraId="4388E1A7" w14:textId="02126B0D" w:rsidR="00AF03F7" w:rsidRDefault="00CF1F2C" w:rsidP="00310B39">
      <w:r>
        <w:lastRenderedPageBreak/>
        <w:tab/>
        <w:t xml:space="preserve">Já vimos quais são os interesses rentistas por trás da apreciação crônica: esta estratégia está associada à manutenção de taxas de juros internas elevadas (muito acima das taxas internacionais) e </w:t>
      </w:r>
      <w:r w:rsidR="00160175">
        <w:t xml:space="preserve">à alavancagem da </w:t>
      </w:r>
      <w:r>
        <w:t xml:space="preserve">internacionalização do grande capital privado nacional. Só que, além disso, </w:t>
      </w:r>
      <w:r w:rsidR="00D12847">
        <w:rPr>
          <w:b/>
        </w:rPr>
        <w:t>esta estratégia</w:t>
      </w:r>
      <w:r w:rsidR="00F97D1A">
        <w:rPr>
          <w:b/>
        </w:rPr>
        <w:t xml:space="preserve"> promove</w:t>
      </w:r>
      <w:r w:rsidRPr="00854198">
        <w:rPr>
          <w:b/>
        </w:rPr>
        <w:t xml:space="preserve"> a distribuição</w:t>
      </w:r>
      <w:r w:rsidR="00845E68" w:rsidRPr="00854198">
        <w:rPr>
          <w:b/>
        </w:rPr>
        <w:t xml:space="preserve"> da r</w:t>
      </w:r>
      <w:r w:rsidR="00F97D1A">
        <w:rPr>
          <w:b/>
        </w:rPr>
        <w:t>enda pró-assalariados, ao impedir</w:t>
      </w:r>
      <w:r w:rsidR="00845E68" w:rsidRPr="00854198">
        <w:rPr>
          <w:b/>
        </w:rPr>
        <w:t xml:space="preserve"> que ganhos nominais sejam repassados aos preços industriais</w:t>
      </w:r>
      <w:r w:rsidR="00F97D1A">
        <w:t>. O que acabou levando</w:t>
      </w:r>
      <w:r w:rsidR="00845E68">
        <w:t xml:space="preserve"> </w:t>
      </w:r>
      <w:r w:rsidR="00F97D1A">
        <w:t>a</w:t>
      </w:r>
      <w:r w:rsidR="00845E68">
        <w:t>o</w:t>
      </w:r>
      <w:r w:rsidR="00D12847">
        <w:t xml:space="preserve"> surgimento </w:t>
      </w:r>
      <w:r w:rsidR="00845E68">
        <w:t xml:space="preserve">de um grande bloco </w:t>
      </w:r>
      <w:r w:rsidR="00A44CE3">
        <w:t>auto denominado social-desenvolvimentista</w:t>
      </w:r>
      <w:r w:rsidR="00845E68">
        <w:t xml:space="preserve"> no Brasil que, sob a pretensão de estar defendendo a ortodoxia </w:t>
      </w:r>
      <w:proofErr w:type="spellStart"/>
      <w:r w:rsidR="00845E68">
        <w:t>cepalino-furtadiana</w:t>
      </w:r>
      <w:proofErr w:type="spellEnd"/>
      <w:r w:rsidR="00845E68">
        <w:t xml:space="preserve"> da prevalência do mercado interno, passou a </w:t>
      </w:r>
      <w:r w:rsidR="005916E8">
        <w:t>criticar</w:t>
      </w:r>
      <w:r w:rsidR="00845E68">
        <w:t xml:space="preserve"> a relevância das </w:t>
      </w:r>
      <w:r w:rsidR="00845E68" w:rsidRPr="006E18A9">
        <w:rPr>
          <w:b/>
        </w:rPr>
        <w:t>exportações</w:t>
      </w:r>
      <w:r w:rsidR="00D12847">
        <w:t xml:space="preserve"> </w:t>
      </w:r>
      <w:r w:rsidR="005916E8">
        <w:t xml:space="preserve">(e das importações de insumos industriais) </w:t>
      </w:r>
      <w:r w:rsidR="00D12847">
        <w:t>para o desenvolvimento e a</w:t>
      </w:r>
      <w:r w:rsidR="00A44CE3">
        <w:t xml:space="preserve"> defender – de forma mais ou menos explícita -</w:t>
      </w:r>
      <w:r w:rsidR="00D12847">
        <w:t xml:space="preserve"> a apreciação da taxa de câmbio por sua contribuição à distri</w:t>
      </w:r>
      <w:r w:rsidR="00446322">
        <w:t>buição da renda</w:t>
      </w:r>
    </w:p>
    <w:p w14:paraId="75459929" w14:textId="19597AF9" w:rsidR="009B595E" w:rsidRDefault="004F2588" w:rsidP="00F56FBF">
      <w:r>
        <w:tab/>
        <w:t>São inúme</w:t>
      </w:r>
      <w:r w:rsidR="004D165F">
        <w:t>ros, contudo, os equívocos dest</w:t>
      </w:r>
      <w:r w:rsidR="00772AB7">
        <w:t>a</w:t>
      </w:r>
      <w:r>
        <w:t xml:space="preserve"> perspectiva </w:t>
      </w:r>
      <w:r w:rsidR="005916E8">
        <w:t>heterodoxa</w:t>
      </w:r>
      <w:r>
        <w:t xml:space="preserve">. </w:t>
      </w:r>
      <w:r w:rsidR="006D2FA9">
        <w:t xml:space="preserve">A começar pelo </w:t>
      </w:r>
      <w:r w:rsidR="004D165F">
        <w:t xml:space="preserve">foco de </w:t>
      </w:r>
      <w:r w:rsidR="006D2FA9">
        <w:t xml:space="preserve">sua </w:t>
      </w:r>
      <w:r w:rsidR="004D165F">
        <w:t>crítica</w:t>
      </w:r>
      <w:r w:rsidR="006D2FA9">
        <w:t>:</w:t>
      </w:r>
      <w:r w:rsidR="004D165F">
        <w:t xml:space="preserve"> a relevância das </w:t>
      </w:r>
      <w:r w:rsidR="00C91736" w:rsidRPr="00D05CDD">
        <w:rPr>
          <w:b/>
        </w:rPr>
        <w:t>exportações</w:t>
      </w:r>
      <w:r w:rsidR="004D165F">
        <w:t xml:space="preserve"> para o desenvolvimento</w:t>
      </w:r>
      <w:r w:rsidR="005916E8">
        <w:t>.</w:t>
      </w:r>
      <w:r w:rsidR="004D165F">
        <w:t xml:space="preserve">  </w:t>
      </w:r>
      <w:r w:rsidR="004D165F" w:rsidRPr="006D2FA9">
        <w:t xml:space="preserve">A questão central é </w:t>
      </w:r>
      <w:r w:rsidR="005916E8">
        <w:t xml:space="preserve">outra: </w:t>
      </w:r>
      <w:r w:rsidR="00C91736" w:rsidRPr="006D2FA9">
        <w:t>a corrosão da</w:t>
      </w:r>
      <w:r w:rsidR="00C91736" w:rsidRPr="00D11FD1">
        <w:rPr>
          <w:b/>
        </w:rPr>
        <w:t xml:space="preserve"> indústria nacional </w:t>
      </w:r>
      <w:r w:rsidR="00D11FD1" w:rsidRPr="006D2FA9">
        <w:t xml:space="preserve">imposta pela </w:t>
      </w:r>
      <w:r w:rsidR="00D11FD1" w:rsidRPr="00D11FD1">
        <w:rPr>
          <w:b/>
        </w:rPr>
        <w:t>sobrevalorização do real</w:t>
      </w:r>
      <w:r w:rsidR="005916E8">
        <w:t xml:space="preserve"> </w:t>
      </w:r>
      <w:proofErr w:type="gramStart"/>
      <w:r w:rsidR="005916E8" w:rsidRPr="00A44215">
        <w:rPr>
          <w:b/>
        </w:rPr>
        <w:t>e</w:t>
      </w:r>
      <w:r w:rsidR="00D11FD1" w:rsidRPr="00A44215">
        <w:rPr>
          <w:b/>
        </w:rPr>
        <w:t xml:space="preserve"> </w:t>
      </w:r>
      <w:r w:rsidR="00D11FD1" w:rsidRPr="006D2FA9">
        <w:t xml:space="preserve"> </w:t>
      </w:r>
      <w:r w:rsidR="00C91736" w:rsidRPr="00D11FD1">
        <w:rPr>
          <w:b/>
        </w:rPr>
        <w:t>substituição</w:t>
      </w:r>
      <w:proofErr w:type="gramEnd"/>
      <w:r w:rsidR="00C91736" w:rsidRPr="00D11FD1">
        <w:rPr>
          <w:b/>
        </w:rPr>
        <w:t xml:space="preserve"> inversa </w:t>
      </w:r>
      <w:r w:rsidR="00D11FD1" w:rsidRPr="00D11FD1">
        <w:rPr>
          <w:b/>
        </w:rPr>
        <w:t xml:space="preserve">de </w:t>
      </w:r>
      <w:r w:rsidR="00C91736" w:rsidRPr="00D11FD1">
        <w:rPr>
          <w:b/>
        </w:rPr>
        <w:t>importações</w:t>
      </w:r>
      <w:r w:rsidR="005916E8">
        <w:rPr>
          <w:b/>
        </w:rPr>
        <w:t>;</w:t>
      </w:r>
      <w:r w:rsidR="00C91736" w:rsidRPr="00D11FD1">
        <w:rPr>
          <w:b/>
        </w:rPr>
        <w:t xml:space="preserve"> </w:t>
      </w:r>
      <w:r w:rsidR="00C91736" w:rsidRPr="006D2FA9">
        <w:t>a questão central é a questão da</w:t>
      </w:r>
      <w:r w:rsidR="00C91736" w:rsidRPr="00D11FD1">
        <w:rPr>
          <w:b/>
        </w:rPr>
        <w:t xml:space="preserve"> desindustrialização do Brasil nos anos do Real.</w:t>
      </w:r>
      <w:r w:rsidR="00C91736">
        <w:t xml:space="preserve"> </w:t>
      </w:r>
      <w:r w:rsidR="004640F9">
        <w:t>E ela vem se impondo, paulatinamente,</w:t>
      </w:r>
      <w:r w:rsidR="00EE4678">
        <w:t xml:space="preserve">, de forma quase imperceptível no curto prazo, mas dramática no longo. </w:t>
      </w:r>
      <w:r w:rsidR="004640F9">
        <w:t xml:space="preserve"> </w:t>
      </w:r>
      <w:r w:rsidR="00EE4678">
        <w:t xml:space="preserve">Tão dramática que tornou </w:t>
      </w:r>
      <w:proofErr w:type="spellStart"/>
      <w:r w:rsidR="00EE4678">
        <w:t>inefetiva</w:t>
      </w:r>
      <w:proofErr w:type="spellEnd"/>
      <w:r w:rsidR="00EE4678">
        <w:t xml:space="preserve"> </w:t>
      </w:r>
      <w:r w:rsidR="00F56FBF">
        <w:t>a retomada da Política Industrial dos anos petistas, como se pode observar no Quadro 5, abaixo. Por mai</w:t>
      </w:r>
      <w:r w:rsidR="00EA3BD4">
        <w:t xml:space="preserve">s irônico que possa parecer, o único período em que </w:t>
      </w:r>
      <w:r w:rsidR="00F56FBF">
        <w:t>a indústria</w:t>
      </w:r>
      <w:r w:rsidR="00EA3BD4">
        <w:t xml:space="preserve"> de transformação </w:t>
      </w:r>
      <w:r w:rsidR="00F56FBF">
        <w:t>ganha participação</w:t>
      </w:r>
      <w:r w:rsidR="00EA3BD4">
        <w:t xml:space="preserve"> no PIB é ao final do mandato de </w:t>
      </w:r>
      <w:r w:rsidR="00A55AA9">
        <w:t>FHC</w:t>
      </w:r>
      <w:r w:rsidR="00EA3BD4">
        <w:t xml:space="preserve"> e nos anos de política fiscal contracionista do primeiro mandato de Lula. </w:t>
      </w:r>
      <w:r w:rsidR="00EE4678">
        <w:t xml:space="preserve">E isto justamente porque, ao longo deste período, o real passou por um ciclo de desvalorização. </w:t>
      </w:r>
      <w:r w:rsidR="00EA3BD4">
        <w:t xml:space="preserve">A partir de 2004, a despeito dos períodos de crescimento e </w:t>
      </w:r>
      <w:r w:rsidR="00EE4678">
        <w:t xml:space="preserve">das políticas industriais </w:t>
      </w:r>
      <w:r w:rsidR="00EA3BD4">
        <w:t xml:space="preserve">dos diversos </w:t>
      </w:r>
      <w:proofErr w:type="spellStart"/>
      <w:r w:rsidR="00EA3BD4">
        <w:t>PACs</w:t>
      </w:r>
      <w:proofErr w:type="spellEnd"/>
      <w:r w:rsidR="00EA3BD4">
        <w:t xml:space="preserve"> e do Plano Brasil Maior a rota é claramente descendente.  </w:t>
      </w:r>
    </w:p>
    <w:p w14:paraId="0A119D67" w14:textId="77777777" w:rsidR="00187DA1" w:rsidRDefault="004D7F44" w:rsidP="002C0BE1">
      <w:pPr>
        <w:pStyle w:val="Quadros"/>
      </w:pPr>
      <w:r>
        <w:t>Quadro 5</w:t>
      </w:r>
    </w:p>
    <w:p w14:paraId="60D03449" w14:textId="77777777" w:rsidR="002C0BE1" w:rsidRDefault="002C0BE1" w:rsidP="002C0BE1">
      <w:pPr>
        <w:pStyle w:val="Quadros"/>
      </w:pPr>
      <w:r>
        <w:t xml:space="preserve">Participação da Indústria de Transformação no PIB entre 2000 e 2014 </w:t>
      </w:r>
    </w:p>
    <w:p w14:paraId="2E72B361" w14:textId="77777777" w:rsidR="004640F9" w:rsidRDefault="002C0BE1" w:rsidP="002C0BE1">
      <w:pPr>
        <w:pStyle w:val="Quadros"/>
      </w:pPr>
      <w:r w:rsidRPr="002C0BE1">
        <w:rPr>
          <w:noProof/>
          <w:lang w:eastAsia="pt-BR"/>
        </w:rPr>
        <w:drawing>
          <wp:inline distT="0" distB="0" distL="0" distR="0" wp14:anchorId="58455949" wp14:editId="777F2C65">
            <wp:extent cx="5756275" cy="525891"/>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5756275" cy="525891"/>
                    </a:xfrm>
                    <a:prstGeom prst="rect">
                      <a:avLst/>
                    </a:prstGeom>
                    <a:noFill/>
                    <a:ln w="9525">
                      <a:noFill/>
                      <a:miter lim="800000"/>
                      <a:headEnd/>
                      <a:tailEnd/>
                    </a:ln>
                  </pic:spPr>
                </pic:pic>
              </a:graphicData>
            </a:graphic>
          </wp:inline>
        </w:drawing>
      </w:r>
    </w:p>
    <w:p w14:paraId="0158686F" w14:textId="77777777" w:rsidR="00187DA1" w:rsidRPr="002C0BE1" w:rsidRDefault="00187DA1" w:rsidP="002C0BE1">
      <w:pPr>
        <w:spacing w:after="0" w:line="240" w:lineRule="auto"/>
        <w:jc w:val="center"/>
        <w:rPr>
          <w:sz w:val="20"/>
          <w:lang w:val="en-US"/>
        </w:rPr>
      </w:pPr>
      <w:r w:rsidRPr="002C0BE1">
        <w:rPr>
          <w:sz w:val="20"/>
          <w:lang w:val="en-US"/>
        </w:rPr>
        <w:t>FDB: IBGE, 2015</w:t>
      </w:r>
      <w:r w:rsidR="002C0BE1" w:rsidRPr="002C0BE1">
        <w:rPr>
          <w:sz w:val="20"/>
          <w:lang w:val="en-US"/>
        </w:rPr>
        <w:t xml:space="preserve"> </w:t>
      </w:r>
      <w:hyperlink r:id="rId13" w:history="1">
        <w:r w:rsidR="002C0BE1" w:rsidRPr="002C0BE1">
          <w:rPr>
            <w:rStyle w:val="Hyperlink"/>
            <w:sz w:val="20"/>
            <w:lang w:val="en-US"/>
          </w:rPr>
          <w:t>http://www.ibge.gov.br/home/estatistica/indicadores/pib/defaultcnt.shtm</w:t>
        </w:r>
      </w:hyperlink>
    </w:p>
    <w:p w14:paraId="37AB15C9" w14:textId="77777777" w:rsidR="00DD7356" w:rsidRPr="002C0BE1" w:rsidRDefault="00DD7356" w:rsidP="00310B39">
      <w:pPr>
        <w:rPr>
          <w:lang w:val="en-US"/>
        </w:rPr>
      </w:pPr>
    </w:p>
    <w:p w14:paraId="396F80FC" w14:textId="77777777" w:rsidR="002F3A72" w:rsidRDefault="007F609C" w:rsidP="00310B39">
      <w:r w:rsidRPr="002C0BE1">
        <w:rPr>
          <w:lang w:val="en-US"/>
        </w:rPr>
        <w:tab/>
      </w:r>
      <w:r>
        <w:t>Já em 2009, um grupo de economistas do BNDES explorava a Matriz de Insumo Produto (MIP) em busca de respostas para a expressiva queda da produção industrial brasileira que, segundo os autores, havia supera</w:t>
      </w:r>
      <w:r w:rsidR="00DD7356">
        <w:t>do “as previsões mais negativas</w:t>
      </w:r>
      <w:r w:rsidR="00A3135C">
        <w:t xml:space="preserve">... [por haver se dado] em meio a um ligeiro aumento das vendas no comércio varejista, ou seja, com uma manutenção dos níveis de consumo interno.” (PUGA et al., 2009, p. 1). A conclusão </w:t>
      </w:r>
      <w:r w:rsidR="00D02780">
        <w:t xml:space="preserve">a </w:t>
      </w:r>
      <w:r w:rsidR="00A3135C">
        <w:t>q</w:t>
      </w:r>
      <w:r w:rsidR="00D02780">
        <w:t>ue chegam dá</w:t>
      </w:r>
      <w:r w:rsidR="00A3135C">
        <w:t xml:space="preserve"> </w:t>
      </w:r>
      <w:r w:rsidR="00D02780">
        <w:t xml:space="preserve">o </w:t>
      </w:r>
      <w:r w:rsidR="00D02780">
        <w:lastRenderedPageBreak/>
        <w:t>título ao artigo: exportação responde</w:t>
      </w:r>
      <w:r w:rsidR="00A3135C">
        <w:t xml:space="preserve"> por mais da metade da queda </w:t>
      </w:r>
      <w:r w:rsidR="00772AB7">
        <w:t xml:space="preserve">da </w:t>
      </w:r>
      <w:r w:rsidR="00A3135C">
        <w:t xml:space="preserve">produção </w:t>
      </w:r>
      <w:r w:rsidR="00BF6A61">
        <w:t xml:space="preserve">industrial do período. E isto porque, a despeito das exportações responderem </w:t>
      </w:r>
      <w:r w:rsidR="00BF6A61" w:rsidRPr="00BF6A61">
        <w:rPr>
          <w:b/>
        </w:rPr>
        <w:t>diretamente</w:t>
      </w:r>
      <w:r w:rsidR="00BF6A61">
        <w:rPr>
          <w:b/>
        </w:rPr>
        <w:t xml:space="preserve"> </w:t>
      </w:r>
      <w:r w:rsidR="00BF6A61">
        <w:t xml:space="preserve">por pouco mais de 20% da produção industrial, </w:t>
      </w:r>
      <w:r w:rsidR="006C0A13">
        <w:t>a indústria exportadora é altamente verticalizada e relativamente pouco importadora</w:t>
      </w:r>
      <w:r w:rsidR="00F13FF7">
        <w:t xml:space="preserve">, incorporando muitos </w:t>
      </w:r>
      <w:r w:rsidR="00F13FF7" w:rsidRPr="00F13FF7">
        <w:rPr>
          <w:b/>
        </w:rPr>
        <w:t>insumos industriais nacionais</w:t>
      </w:r>
      <w:r w:rsidR="006C0A13">
        <w:t>. Isto significa dizer que os vazamentos de demanda das cadeias de produção exportadoras são mínimos e seus multiplicadores de renda e emprego são máximos</w:t>
      </w:r>
      <w:r w:rsidR="007B38AE">
        <w:rPr>
          <w:rStyle w:val="Refdenotaderodap"/>
        </w:rPr>
        <w:footnoteReference w:id="31"/>
      </w:r>
      <w:r w:rsidR="006C0A13">
        <w:t xml:space="preserve">. </w:t>
      </w:r>
    </w:p>
    <w:p w14:paraId="05B414FF" w14:textId="46C56784" w:rsidR="006C1F3F" w:rsidRDefault="00246B2E" w:rsidP="00310B39">
      <w:pPr>
        <w:ind w:firstLine="720"/>
      </w:pPr>
      <w:r>
        <w:t xml:space="preserve">Estas evidências </w:t>
      </w:r>
      <w:r w:rsidR="00045661">
        <w:t>vinham se somar ao conjunto de vo</w:t>
      </w:r>
      <w:r w:rsidR="004C067E">
        <w:t>zes que bradavam contra a desin</w:t>
      </w:r>
      <w:r w:rsidR="00045661">
        <w:t>dustrialização. E, em especi</w:t>
      </w:r>
      <w:r w:rsidR="004C067E">
        <w:t>al, se somavam ao coletivo auto</w:t>
      </w:r>
      <w:r w:rsidR="00045661">
        <w:t>intitulado novo-desenvolv</w:t>
      </w:r>
      <w:r w:rsidR="00780217">
        <w:t>imentista, liderado</w:t>
      </w:r>
      <w:r w:rsidR="00045661">
        <w:t xml:space="preserve"> pelo ex-ministro Bresser Pereira</w:t>
      </w:r>
      <w:r w:rsidR="00780217">
        <w:t>, que há anos bradava contra a sobrevalorização do real e suas consequências perversas para o desenvolvimento econômico nacional</w:t>
      </w:r>
      <w:r w:rsidR="002765FB">
        <w:rPr>
          <w:rStyle w:val="Refdenotaderodap"/>
        </w:rPr>
        <w:footnoteReference w:id="32"/>
      </w:r>
      <w:r w:rsidR="00780217">
        <w:t xml:space="preserve">. </w:t>
      </w:r>
      <w:r w:rsidR="004C067E">
        <w:t>O problema é que est</w:t>
      </w:r>
      <w:r>
        <w:t xml:space="preserve">as vozes tinham pouca audiência e esta nem sempre lhes era favorável. </w:t>
      </w:r>
      <w:r w:rsidR="00B16E5E">
        <w:t xml:space="preserve">Pelo contrário. Diríamos </w:t>
      </w:r>
      <w:r w:rsidR="005F4AE3">
        <w:t xml:space="preserve">até </w:t>
      </w:r>
      <w:r w:rsidR="00F33FAA">
        <w:t>que vige um certo esforço</w:t>
      </w:r>
      <w:r w:rsidR="00B16E5E">
        <w:t xml:space="preserve"> de “incompreensão” dos argumentos de Bresser-Pereira.</w:t>
      </w:r>
      <w:r w:rsidR="004211BA">
        <w:t xml:space="preserve"> C</w:t>
      </w:r>
      <w:r w:rsidR="00F33FAA">
        <w:t>omo regra geral</w:t>
      </w:r>
      <w:r w:rsidR="004211BA">
        <w:t xml:space="preserve">, a leitura </w:t>
      </w:r>
      <w:r w:rsidR="00AE289F">
        <w:t>que a</w:t>
      </w:r>
      <w:r w:rsidR="004211BA">
        <w:t xml:space="preserve"> esquerda faz de seu trabalho analítico </w:t>
      </w:r>
      <w:r w:rsidR="006C1F3F">
        <w:t>é desconstrucionista</w:t>
      </w:r>
      <w:r w:rsidR="00F33FAA">
        <w:t>; não se busca</w:t>
      </w:r>
      <w:r w:rsidR="00941EC3">
        <w:t xml:space="preserve"> </w:t>
      </w:r>
      <w:r w:rsidR="00017994">
        <w:t xml:space="preserve">contribuir para o enfrentamento das </w:t>
      </w:r>
      <w:r w:rsidR="00F33FAA">
        <w:t xml:space="preserve">(sem dúvida, reais e presentes) </w:t>
      </w:r>
      <w:r w:rsidR="00017994">
        <w:t>insuficiências desta vertente do desenvolvimentismo</w:t>
      </w:r>
      <w:r w:rsidR="00941EC3">
        <w:t>, mas de buscar encontrar suas falhas</w:t>
      </w:r>
      <w:r w:rsidR="0017717C">
        <w:t>, de lembrar que se trata de uma corrente que “exalta o mercado como mecanismo de alocação de recursos, impulsionado por ampla abertura comercial” (Bastos, 2012, p. 788)</w:t>
      </w:r>
      <w:r w:rsidR="006D4DFE">
        <w:t xml:space="preserve"> e de que “a semelhança com o neoliberalismo estende-se no modo de interpretar a crise da experiência desenvolvimentista brasileira” (Bastos, 2012, p. 789)</w:t>
      </w:r>
      <w:r w:rsidR="00CA6D5B">
        <w:rPr>
          <w:rStyle w:val="Refdenotaderodap"/>
        </w:rPr>
        <w:footnoteReference w:id="33"/>
      </w:r>
      <w:r w:rsidR="006D4DFE">
        <w:t xml:space="preserve">. </w:t>
      </w:r>
      <w:r w:rsidR="00533AFE">
        <w:t xml:space="preserve">O que </w:t>
      </w:r>
      <w:r w:rsidR="006C1F3F">
        <w:t>não leva apenas a um deslocamento da questão que realmente importa</w:t>
      </w:r>
      <w:r w:rsidR="00B34F88">
        <w:t xml:space="preserve"> </w:t>
      </w:r>
      <w:r w:rsidR="00017994">
        <w:t xml:space="preserve">a Bresser e seu grupo </w:t>
      </w:r>
      <w:r w:rsidR="00B34F88">
        <w:t xml:space="preserve">- </w:t>
      </w:r>
      <w:r w:rsidR="006C1F3F" w:rsidRPr="00F533B7">
        <w:rPr>
          <w:b/>
        </w:rPr>
        <w:t>o papel da apreciação cambial crônica para o baixo dinamismo estrutural da economia brasileira</w:t>
      </w:r>
      <w:r w:rsidR="00F33FAA">
        <w:t>: levanta</w:t>
      </w:r>
      <w:r w:rsidR="00533AFE">
        <w:t xml:space="preserve"> uma espécie de barreira </w:t>
      </w:r>
      <w:r w:rsidR="006C1F3F">
        <w:t xml:space="preserve">ideológica </w:t>
      </w:r>
      <w:r w:rsidR="00533AFE">
        <w:t>ao diálogo</w:t>
      </w:r>
      <w:r w:rsidR="006C1F3F">
        <w:t xml:space="preserve"> com o novo-desenvolvimentismo e, no limite, com a </w:t>
      </w:r>
      <w:r w:rsidR="00017994">
        <w:t xml:space="preserve">própria </w:t>
      </w:r>
      <w:r w:rsidR="006C1F3F">
        <w:t xml:space="preserve">temática </w:t>
      </w:r>
      <w:r w:rsidR="00017994">
        <w:t>da apreciação</w:t>
      </w:r>
      <w:r w:rsidR="00B34F88">
        <w:t>.</w:t>
      </w:r>
      <w:r w:rsidR="006C1F3F">
        <w:t xml:space="preserve"> </w:t>
      </w:r>
    </w:p>
    <w:p w14:paraId="68963F1E" w14:textId="278E3F5C" w:rsidR="003B7CB5" w:rsidRDefault="00B34F88" w:rsidP="00310B39">
      <w:pPr>
        <w:ind w:firstLine="720"/>
      </w:pPr>
      <w:r>
        <w:lastRenderedPageBreak/>
        <w:t xml:space="preserve">Ao fim e ao cabo, acabou por se criar uma espécie de </w:t>
      </w:r>
      <w:r w:rsidR="00AE289F">
        <w:t>“</w:t>
      </w:r>
      <w:r w:rsidR="000271F4">
        <w:t xml:space="preserve">Frente Ampla </w:t>
      </w:r>
      <w:proofErr w:type="spellStart"/>
      <w:r w:rsidR="000271F4">
        <w:t>Aprecionista</w:t>
      </w:r>
      <w:proofErr w:type="spellEnd"/>
      <w:r w:rsidR="00AE289F">
        <w:t>”</w:t>
      </w:r>
      <w:r w:rsidR="000271F4">
        <w:t xml:space="preserve"> </w:t>
      </w:r>
      <w:r w:rsidR="00D92323">
        <w:t>no país, unindo: 1)</w:t>
      </w:r>
      <w:r w:rsidR="00CB2774">
        <w:t xml:space="preserve"> </w:t>
      </w:r>
      <w:proofErr w:type="spellStart"/>
      <w:r w:rsidR="00CB2774">
        <w:t>anti-</w:t>
      </w:r>
      <w:r w:rsidR="00B219C0">
        <w:t>inflacionistas</w:t>
      </w:r>
      <w:proofErr w:type="spellEnd"/>
      <w:r w:rsidR="00B219C0">
        <w:t xml:space="preserve"> </w:t>
      </w:r>
      <w:r w:rsidR="00CB2774">
        <w:t xml:space="preserve">radicais, temerosos do retorno da hiperinflação dos anos 80; 2) </w:t>
      </w:r>
      <w:r w:rsidR="00B219C0">
        <w:t>rentistas</w:t>
      </w:r>
      <w:r w:rsidR="00CB2774">
        <w:t xml:space="preserve"> e especuladores beneficiados com as elevadas taxas de juros e com a </w:t>
      </w:r>
      <w:proofErr w:type="spellStart"/>
      <w:r w:rsidR="00CB2774">
        <w:t>Las</w:t>
      </w:r>
      <w:proofErr w:type="spellEnd"/>
      <w:r w:rsidR="00CB2774">
        <w:t xml:space="preserve"> Vegas dos derivativos cambiais; </w:t>
      </w:r>
      <w:r w:rsidR="003A198C">
        <w:t>3) o</w:t>
      </w:r>
      <w:r w:rsidR="00CB2774">
        <w:t xml:space="preserve"> </w:t>
      </w:r>
      <w:r w:rsidR="003A198C">
        <w:t>g</w:t>
      </w:r>
      <w:r w:rsidR="00B219C0">
        <w:t xml:space="preserve">rande capital </w:t>
      </w:r>
      <w:r w:rsidR="00E32464">
        <w:t>nacional em processo de internacionalização</w:t>
      </w:r>
      <w:r w:rsidR="003A198C">
        <w:t xml:space="preserve"> desde 1994; 4) </w:t>
      </w:r>
      <w:r w:rsidR="00B219C0">
        <w:t>e a base social</w:t>
      </w:r>
      <w:r w:rsidR="00AE289F">
        <w:t xml:space="preserve"> (em especial, a base sindical)</w:t>
      </w:r>
      <w:r w:rsidR="00B219C0">
        <w:t xml:space="preserve"> do petismo, interessada na aceleração da distribuição da renda</w:t>
      </w:r>
      <w:r w:rsidR="003A198C">
        <w:t xml:space="preserve"> via ganhos nominais tornados reais pelo estrangulamento dos repasses aos preços dos setores </w:t>
      </w:r>
      <w:proofErr w:type="spellStart"/>
      <w:r w:rsidR="003A198C" w:rsidRPr="003A198C">
        <w:rPr>
          <w:i/>
        </w:rPr>
        <w:t>tradables</w:t>
      </w:r>
      <w:proofErr w:type="spellEnd"/>
      <w:r w:rsidR="00B219C0">
        <w:t xml:space="preserve"> </w:t>
      </w:r>
      <w:r w:rsidR="00017994">
        <w:t xml:space="preserve">(que, inadvertidamente, iam </w:t>
      </w:r>
      <w:r w:rsidR="003A198C">
        <w:t xml:space="preserve">matando ou promovendo a internacionalização da indústria, sua galinha dos ovos de ouro). </w:t>
      </w:r>
      <w:r w:rsidR="003A198C" w:rsidRPr="00312AA0">
        <w:rPr>
          <w:b/>
        </w:rPr>
        <w:t xml:space="preserve">E o pior é que esta frente </w:t>
      </w:r>
      <w:r w:rsidR="00017994">
        <w:rPr>
          <w:b/>
        </w:rPr>
        <w:t xml:space="preserve">ampla </w:t>
      </w:r>
      <w:proofErr w:type="spellStart"/>
      <w:r w:rsidR="00017994">
        <w:rPr>
          <w:b/>
        </w:rPr>
        <w:t>aprecionista</w:t>
      </w:r>
      <w:proofErr w:type="spellEnd"/>
      <w:r w:rsidR="00312AA0" w:rsidRPr="00312AA0">
        <w:rPr>
          <w:b/>
        </w:rPr>
        <w:t xml:space="preserve"> </w:t>
      </w:r>
      <w:r w:rsidR="00AD1A39" w:rsidRPr="00312AA0">
        <w:rPr>
          <w:b/>
        </w:rPr>
        <w:t>vai cumprir um papel político muito peculiar nos dois primeiros anos do primeiro mandato de Dilma Rousseff: o papel de guardiões da autonomia do Banco Central</w:t>
      </w:r>
      <w:r w:rsidR="00366568">
        <w:rPr>
          <w:b/>
        </w:rPr>
        <w:t>, articulada no período 1993-2002 e narrada na segunda seção acima.</w:t>
      </w:r>
      <w:r w:rsidR="00AD1A39">
        <w:t xml:space="preserve"> </w:t>
      </w:r>
      <w:r w:rsidR="00017994">
        <w:t>Senão vejamos.</w:t>
      </w:r>
    </w:p>
    <w:p w14:paraId="670062D9" w14:textId="292028F6" w:rsidR="001B0E52" w:rsidRDefault="00366568" w:rsidP="00310B39">
      <w:pPr>
        <w:ind w:firstLine="720"/>
      </w:pPr>
      <w:r>
        <w:t xml:space="preserve">Utilizando-se de sua grande popularidade (herdada de Lula), da elevada fatia de mercado </w:t>
      </w:r>
      <w:r w:rsidR="00C87B60">
        <w:t>e poder competitivo</w:t>
      </w:r>
      <w:r w:rsidR="001C442B">
        <w:t xml:space="preserve"> </w:t>
      </w:r>
      <w:r>
        <w:t xml:space="preserve">dos bancos públicos, </w:t>
      </w:r>
      <w:r w:rsidR="001C442B">
        <w:t xml:space="preserve">e da </w:t>
      </w:r>
      <w:r w:rsidR="00C87B60">
        <w:t>seriedade, respeito à hierarquia formal e desarticulação com as altas finanças</w:t>
      </w:r>
      <w:r w:rsidR="001C442B">
        <w:t xml:space="preserve"> do novo Presidente do Bacen, </w:t>
      </w:r>
      <w:r w:rsidR="003B7CB5">
        <w:t>D</w:t>
      </w:r>
      <w:r w:rsidR="001C442B">
        <w:t>ilma tenta uma jogada política audaciosa</w:t>
      </w:r>
      <w:r w:rsidR="00017994">
        <w:t xml:space="preserve"> em seu primeiro mandato</w:t>
      </w:r>
      <w:r w:rsidR="001C442B">
        <w:t xml:space="preserve">: chama para seu gabinete um antigo adversário de ideias na primeira gestão de Lula, mas grande articulador </w:t>
      </w:r>
      <w:r w:rsidR="00C87B60">
        <w:t xml:space="preserve">político </w:t>
      </w:r>
      <w:r w:rsidR="007D5712">
        <w:t>e propõe um novo acordo de gestão macroeconômica: uma restrição fiscal em troca de uma gestão monetária e camb</w:t>
      </w:r>
      <w:r w:rsidR="006C3611">
        <w:t>ial mais frouxa. A inflexão foi</w:t>
      </w:r>
      <w:r w:rsidR="007D5712">
        <w:t xml:space="preserve"> (e ainda é</w:t>
      </w:r>
      <w:r w:rsidR="00AE289F">
        <w:t>!</w:t>
      </w:r>
      <w:r w:rsidR="007D5712">
        <w:t xml:space="preserve">) </w:t>
      </w:r>
      <w:r w:rsidR="006C3611">
        <w:t xml:space="preserve">lida por muitos </w:t>
      </w:r>
      <w:r w:rsidR="007D5712">
        <w:t>como conservadora</w:t>
      </w:r>
      <w:r w:rsidR="006C3611">
        <w:t xml:space="preserve"> uma vez que impli</w:t>
      </w:r>
      <w:r w:rsidR="001B0E52">
        <w:t xml:space="preserve">cou em </w:t>
      </w:r>
      <w:r w:rsidR="00AE289F">
        <w:t xml:space="preserve">desaceleração dos </w:t>
      </w:r>
      <w:r w:rsidR="006C3611">
        <w:t>dispêndios com os</w:t>
      </w:r>
      <w:r w:rsidR="00B658A9">
        <w:t xml:space="preserve"> investimentos</w:t>
      </w:r>
      <w:r w:rsidR="009D1557">
        <w:t xml:space="preserve"> no </w:t>
      </w:r>
      <w:r w:rsidR="0069679F">
        <w:t xml:space="preserve">ano </w:t>
      </w:r>
      <w:r w:rsidR="009D1557">
        <w:t>de 2011</w:t>
      </w:r>
      <w:r w:rsidR="007D5712">
        <w:t xml:space="preserve">. </w:t>
      </w:r>
      <w:r w:rsidR="00AE289F">
        <w:t xml:space="preserve">Mas esta perspectiva crítica está baseada no falso pressuposto de que tanto a política fiscal quanto a monetária encontrava-se sob controle do Palácio do Planalto. Escapa aos críticos o objetivo e resultados </w:t>
      </w:r>
      <w:r w:rsidR="00AC093D">
        <w:t xml:space="preserve">da inflexão de Dilma: flexibilizar a política monetária, </w:t>
      </w:r>
      <w:r w:rsidR="007D5712" w:rsidRPr="004F7D57">
        <w:t>de</w:t>
      </w:r>
      <w:r w:rsidR="001B0E52">
        <w:t>primir os dispêndios do Tesouro</w:t>
      </w:r>
      <w:r w:rsidR="007D5712" w:rsidRPr="004F7D57">
        <w:t xml:space="preserve"> com juros</w:t>
      </w:r>
      <w:r w:rsidR="0069679F" w:rsidRPr="004F7D57">
        <w:t>, depreciar o câmbio e can</w:t>
      </w:r>
      <w:r w:rsidR="001B0E52">
        <w:t>alizar os recursos poupados</w:t>
      </w:r>
      <w:r w:rsidR="004F7D57" w:rsidRPr="004F7D57">
        <w:t xml:space="preserve"> </w:t>
      </w:r>
      <w:r w:rsidR="0069679F" w:rsidRPr="004F7D57">
        <w:t>(malgrado os compromissos formais com a amortização da dívida</w:t>
      </w:r>
      <w:r w:rsidR="004F7D57" w:rsidRPr="004F7D57">
        <w:t xml:space="preserve">) para a nova Política Industrial (o Plano Brasil Maior, lançado no segundo semestre de 2011), </w:t>
      </w:r>
      <w:r w:rsidR="001B0E52">
        <w:t xml:space="preserve">para </w:t>
      </w:r>
      <w:r w:rsidR="004F7D57" w:rsidRPr="004F7D57">
        <w:t xml:space="preserve">o programa de investimento em logística (PIL) e </w:t>
      </w:r>
      <w:r w:rsidR="001B0E52">
        <w:t xml:space="preserve">para </w:t>
      </w:r>
      <w:r w:rsidR="004F7D57" w:rsidRPr="004F7D57">
        <w:t xml:space="preserve">a ampliação das políticas sociais. </w:t>
      </w:r>
    </w:p>
    <w:p w14:paraId="14DD0FD4" w14:textId="51D03BAF" w:rsidR="00876106" w:rsidRDefault="004F7D57" w:rsidP="00310B39">
      <w:pPr>
        <w:ind w:firstLine="720"/>
      </w:pPr>
      <w:r>
        <w:t>E</w:t>
      </w:r>
      <w:r w:rsidR="001B0E52">
        <w:t>sta</w:t>
      </w:r>
      <w:r>
        <w:t xml:space="preserve"> </w:t>
      </w:r>
      <w:r w:rsidR="00017994">
        <w:t>estratégia foi</w:t>
      </w:r>
      <w:r w:rsidR="001B0E52">
        <w:t xml:space="preserve"> extraordinariamente </w:t>
      </w:r>
      <w:proofErr w:type="gramStart"/>
      <w:r w:rsidR="001B0E52">
        <w:t>b</w:t>
      </w:r>
      <w:r>
        <w:t>em sucedida</w:t>
      </w:r>
      <w:proofErr w:type="gramEnd"/>
      <w:r w:rsidR="002E4C79">
        <w:t xml:space="preserve"> em seus primeiros momentos.</w:t>
      </w:r>
      <w:r>
        <w:t xml:space="preserve"> </w:t>
      </w:r>
      <w:r w:rsidR="00C85A67">
        <w:t>De janeiro de 2012 a janeiro de 2013</w:t>
      </w:r>
      <w:r>
        <w:t xml:space="preserve"> a taxa Selic</w:t>
      </w:r>
      <w:r w:rsidR="002E4C79">
        <w:t xml:space="preserve"> cairá de </w:t>
      </w:r>
      <w:r w:rsidR="00B61FC5">
        <w:t>10,7</w:t>
      </w:r>
      <w:r w:rsidR="00C85A67">
        <w:t>% a.a. para 7,11</w:t>
      </w:r>
      <w:r w:rsidR="00017994">
        <w:t xml:space="preserve">% </w:t>
      </w:r>
      <w:proofErr w:type="gramStart"/>
      <w:r w:rsidR="00017994">
        <w:t>a.a</w:t>
      </w:r>
      <w:r w:rsidR="002E4C79">
        <w:t>.</w:t>
      </w:r>
      <w:r w:rsidR="00017994">
        <w:t>.</w:t>
      </w:r>
      <w:proofErr w:type="gramEnd"/>
      <w:r w:rsidR="002E4C79">
        <w:t xml:space="preserve"> </w:t>
      </w:r>
      <w:r w:rsidR="00EC7B9A">
        <w:t>Com a inflação anual girando em torno do</w:t>
      </w:r>
      <w:r w:rsidR="00501F8A">
        <w:t>s 6%,</w:t>
      </w:r>
      <w:r w:rsidR="00EC7B9A">
        <w:t xml:space="preserve"> isto implicava em uma taxa real de juros próxima de 1%; vale dizer, juros de </w:t>
      </w:r>
      <w:r w:rsidR="00AC093D">
        <w:t xml:space="preserve">“primeiro mundo”. </w:t>
      </w:r>
      <w:r w:rsidR="00EC7B9A">
        <w:t>Como conseq</w:t>
      </w:r>
      <w:r w:rsidR="00B61FC5">
        <w:t>uência, a taxa de câmbio</w:t>
      </w:r>
      <w:r w:rsidR="00EC7B9A">
        <w:t xml:space="preserve"> começou a se depreciar e a âncora cambial deixou de operar tão bem. O governo passou a deslocar recursos poupados com juros para desonerações tributárias concedidas à indústria com vistas </w:t>
      </w:r>
      <w:r w:rsidR="00501F8A">
        <w:t xml:space="preserve">não só </w:t>
      </w:r>
      <w:r w:rsidR="00EC7B9A">
        <w:t xml:space="preserve">a </w:t>
      </w:r>
      <w:r w:rsidR="00EC7B9A">
        <w:lastRenderedPageBreak/>
        <w:t>estimular os inv</w:t>
      </w:r>
      <w:r w:rsidR="00876106">
        <w:t xml:space="preserve">estimentos privados </w:t>
      </w:r>
      <w:r w:rsidR="00501F8A">
        <w:t xml:space="preserve">(como alardeado) mas </w:t>
      </w:r>
      <w:r w:rsidR="00017994">
        <w:t>também para contribuir com</w:t>
      </w:r>
      <w:r w:rsidR="00501F8A">
        <w:t xml:space="preserve"> o controle de preços </w:t>
      </w:r>
      <w:r w:rsidR="00017994">
        <w:t xml:space="preserve">dos bens de consumo duráveis </w:t>
      </w:r>
      <w:r w:rsidR="00501F8A">
        <w:t>neste momento de adaptação da economia</w:t>
      </w:r>
      <w:r w:rsidR="00EC7B9A">
        <w:t xml:space="preserve">. </w:t>
      </w:r>
      <w:r w:rsidR="00501F8A">
        <w:t xml:space="preserve">Não obstante, </w:t>
      </w:r>
      <w:r w:rsidR="00EC7B9A">
        <w:t xml:space="preserve">na medida em que a política redistributiva continuava em curso e se estruturava sobre a elevação dos salários nominais, a inflexão do câmbio não poderia deixar de implicar em algum repique inflacionário. </w:t>
      </w:r>
    </w:p>
    <w:p w14:paraId="7FB4E831" w14:textId="77777777" w:rsidR="00876106" w:rsidRDefault="004D7F44" w:rsidP="002C0BE1">
      <w:pPr>
        <w:pStyle w:val="Quadros"/>
      </w:pPr>
      <w:r>
        <w:t>Quadro 6</w:t>
      </w:r>
    </w:p>
    <w:p w14:paraId="5A3C9822" w14:textId="77777777" w:rsidR="0078251A" w:rsidRPr="00C85A67" w:rsidRDefault="0078251A" w:rsidP="002C0BE1">
      <w:pPr>
        <w:pStyle w:val="Quadros"/>
        <w:rPr>
          <w:sz w:val="22"/>
          <w:szCs w:val="22"/>
        </w:rPr>
      </w:pPr>
      <w:r w:rsidRPr="00C85A67">
        <w:rPr>
          <w:sz w:val="22"/>
          <w:szCs w:val="22"/>
        </w:rPr>
        <w:t>Evolução do Câmbio Nominal</w:t>
      </w:r>
      <w:r w:rsidR="00DD7356">
        <w:rPr>
          <w:sz w:val="22"/>
          <w:szCs w:val="22"/>
        </w:rPr>
        <w:t xml:space="preserve">, Taxa Selic </w:t>
      </w:r>
      <w:r w:rsidRPr="00C85A67">
        <w:rPr>
          <w:sz w:val="22"/>
          <w:szCs w:val="22"/>
        </w:rPr>
        <w:t>e IPCA dos 12</w:t>
      </w:r>
    </w:p>
    <w:p w14:paraId="61A545C3" w14:textId="77777777" w:rsidR="0078251A" w:rsidRDefault="0078251A" w:rsidP="002C0BE1">
      <w:pPr>
        <w:pStyle w:val="Quadros"/>
        <w:rPr>
          <w:sz w:val="22"/>
          <w:szCs w:val="22"/>
        </w:rPr>
      </w:pPr>
      <w:r w:rsidRPr="00C85A67">
        <w:rPr>
          <w:sz w:val="22"/>
          <w:szCs w:val="22"/>
        </w:rPr>
        <w:t xml:space="preserve">Meses </w:t>
      </w:r>
      <w:r w:rsidR="00C85A67" w:rsidRPr="00C85A67">
        <w:rPr>
          <w:sz w:val="22"/>
          <w:szCs w:val="22"/>
        </w:rPr>
        <w:t>Anteriores e Projetados à Frent</w:t>
      </w:r>
      <w:r w:rsidRPr="00C85A67">
        <w:rPr>
          <w:sz w:val="22"/>
          <w:szCs w:val="22"/>
        </w:rPr>
        <w:t>e entre 02/12 e 12/13</w:t>
      </w:r>
    </w:p>
    <w:p w14:paraId="1C723BE2" w14:textId="77777777" w:rsidR="00DD7356" w:rsidRDefault="00DD7356" w:rsidP="002C0BE1">
      <w:pPr>
        <w:spacing w:after="0" w:line="240" w:lineRule="auto"/>
        <w:jc w:val="center"/>
        <w:rPr>
          <w:sz w:val="20"/>
          <w:szCs w:val="20"/>
        </w:rPr>
      </w:pPr>
      <w:r w:rsidRPr="00DD7356">
        <w:rPr>
          <w:noProof/>
          <w:szCs w:val="20"/>
          <w:lang w:eastAsia="pt-BR"/>
        </w:rPr>
        <w:drawing>
          <wp:inline distT="0" distB="0" distL="0" distR="0" wp14:anchorId="64D70797" wp14:editId="284B1116">
            <wp:extent cx="3434715" cy="1812925"/>
            <wp:effectExtent l="19050" t="0" r="0" b="0"/>
            <wp:docPr id="8"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srcRect/>
                    <a:stretch>
                      <a:fillRect/>
                    </a:stretch>
                  </pic:blipFill>
                  <pic:spPr bwMode="auto">
                    <a:xfrm>
                      <a:off x="0" y="0"/>
                      <a:ext cx="3434715" cy="1812925"/>
                    </a:xfrm>
                    <a:prstGeom prst="rect">
                      <a:avLst/>
                    </a:prstGeom>
                    <a:noFill/>
                    <a:ln w="9525">
                      <a:noFill/>
                      <a:miter lim="800000"/>
                      <a:headEnd/>
                      <a:tailEnd/>
                    </a:ln>
                  </pic:spPr>
                </pic:pic>
              </a:graphicData>
            </a:graphic>
          </wp:inline>
        </w:drawing>
      </w:r>
    </w:p>
    <w:p w14:paraId="6570121C" w14:textId="77777777" w:rsidR="00876106" w:rsidRPr="0040631D" w:rsidRDefault="005C6A34" w:rsidP="002C0BE1">
      <w:pPr>
        <w:spacing w:after="0" w:line="240" w:lineRule="auto"/>
        <w:jc w:val="center"/>
        <w:rPr>
          <w:sz w:val="20"/>
          <w:lang w:val="en-US"/>
        </w:rPr>
      </w:pPr>
      <w:r w:rsidRPr="0040631D">
        <w:rPr>
          <w:sz w:val="20"/>
          <w:lang w:val="en-US"/>
        </w:rPr>
        <w:t xml:space="preserve">FDB: </w:t>
      </w:r>
      <w:r w:rsidR="0078251A" w:rsidRPr="0040631D">
        <w:rPr>
          <w:sz w:val="20"/>
          <w:lang w:val="en-US"/>
        </w:rPr>
        <w:t>Bacen</w:t>
      </w:r>
      <w:r w:rsidR="002C0BE1" w:rsidRPr="0040631D">
        <w:rPr>
          <w:sz w:val="20"/>
          <w:lang w:val="en-US"/>
        </w:rPr>
        <w:t xml:space="preserve"> </w:t>
      </w:r>
      <w:r w:rsidR="00D6058D" w:rsidRPr="0040631D">
        <w:rPr>
          <w:sz w:val="20"/>
          <w:lang w:val="en-US"/>
        </w:rPr>
        <w:t>www.bcb.gov.br</w:t>
      </w:r>
    </w:p>
    <w:p w14:paraId="1773A12E" w14:textId="77777777" w:rsidR="00DD7356" w:rsidRPr="0040631D" w:rsidRDefault="00DD7356" w:rsidP="00310B39">
      <w:pPr>
        <w:spacing w:after="0"/>
        <w:jc w:val="center"/>
        <w:rPr>
          <w:sz w:val="20"/>
          <w:lang w:val="en-US"/>
        </w:rPr>
      </w:pPr>
    </w:p>
    <w:p w14:paraId="49FB0F7E" w14:textId="4D22912A" w:rsidR="00B61FC5" w:rsidRDefault="00611FD3" w:rsidP="00310B39">
      <w:pPr>
        <w:ind w:firstLine="720"/>
      </w:pPr>
      <w:r>
        <w:t>Estas começam a se anunciar na elevação das projeções e nas taxas mensais de inflaçã</w:t>
      </w:r>
      <w:r w:rsidR="0067003A">
        <w:t xml:space="preserve">o ao final de 2012 (vide linha </w:t>
      </w:r>
      <w:r>
        <w:t xml:space="preserve">out/12 </w:t>
      </w:r>
      <w:r w:rsidR="00DD7356">
        <w:t>no Quadro 6</w:t>
      </w:r>
      <w:r>
        <w:t xml:space="preserve"> acima). Mas o Bacen persistiu na trajetória baixista até janeiro</w:t>
      </w:r>
      <w:r w:rsidR="003175DE">
        <w:t xml:space="preserve"> de 2013. Em fevereiro, contudo, recomeça a elevar a taxa de juros. Inicialmente de forma </w:t>
      </w:r>
      <w:proofErr w:type="gramStart"/>
      <w:r w:rsidR="003175DE">
        <w:t>muito sutil e suave</w:t>
      </w:r>
      <w:proofErr w:type="gramEnd"/>
      <w:r w:rsidR="003175DE">
        <w:t xml:space="preserve"> Mas já l</w:t>
      </w:r>
      <w:r>
        <w:t>evantando protestos</w:t>
      </w:r>
      <w:r w:rsidR="00EC7B9A">
        <w:t xml:space="preserve"> de Dilma e Mantega. Protestos rapidamente calados pela força da </w:t>
      </w:r>
      <w:r w:rsidR="000271F4">
        <w:t>“</w:t>
      </w:r>
      <w:r w:rsidR="00EC7B9A">
        <w:t>F</w:t>
      </w:r>
      <w:r w:rsidR="00AC093D">
        <w:t xml:space="preserve">rente Ampla </w:t>
      </w:r>
      <w:proofErr w:type="spellStart"/>
      <w:r w:rsidR="00AC093D">
        <w:t>Aprecionista</w:t>
      </w:r>
      <w:proofErr w:type="spellEnd"/>
      <w:r w:rsidR="000271F4">
        <w:t>”</w:t>
      </w:r>
      <w:r w:rsidR="00EC7B9A">
        <w:t xml:space="preserve">. Toda </w:t>
      </w:r>
      <w:r w:rsidR="003175DE">
        <w:t>a mídia conservadora se erguerá</w:t>
      </w:r>
      <w:r w:rsidR="00EC7B9A">
        <w:t xml:space="preserve"> contra a interferência </w:t>
      </w:r>
      <w:r>
        <w:t xml:space="preserve">indevida </w:t>
      </w:r>
      <w:r w:rsidR="00EC7B9A">
        <w:t xml:space="preserve">sobre o Bacen. E praticamente não houve </w:t>
      </w:r>
      <w:r w:rsidR="003175DE">
        <w:t xml:space="preserve">voz da esquerda para </w:t>
      </w:r>
      <w:r w:rsidR="00EC7B9A">
        <w:t>defender o direito do governo eleito pelo povo de interferir sobre dois preços fundamentais para a distribuição da renda e para os destinos da indústria e da nação: os juros e o câmbio</w:t>
      </w:r>
      <w:r w:rsidR="003175DE">
        <w:rPr>
          <w:rStyle w:val="Refdenotaderodap"/>
        </w:rPr>
        <w:footnoteReference w:id="34"/>
      </w:r>
      <w:r w:rsidR="00EC7B9A">
        <w:t>.</w:t>
      </w:r>
    </w:p>
    <w:p w14:paraId="3F8E2DF0" w14:textId="77777777" w:rsidR="00E15AD4" w:rsidRDefault="000271F4" w:rsidP="00310B39">
      <w:pPr>
        <w:ind w:firstLine="720"/>
      </w:pPr>
      <w:r>
        <w:t>A derrota na tentativa de resgatar alguma autoridade sobre o Bacen a princípio não deveria ter maiores consequências políticas dada a ampla base de apoio da apr</w:t>
      </w:r>
      <w:r w:rsidR="004D7F44">
        <w:t>eciação</w:t>
      </w:r>
      <w:r w:rsidR="00C64F1A">
        <w:t xml:space="preserve"> cambial. Ledo engano. Todos as</w:t>
      </w:r>
      <w:r>
        <w:t xml:space="preserve"> consequências perversas </w:t>
      </w:r>
      <w:r w:rsidR="00C64F1A">
        <w:t xml:space="preserve">da apreciação </w:t>
      </w:r>
      <w:r>
        <w:t>sobre a indústria estavam se manifestando exatamente naquele momento. E isto por diversos mot</w:t>
      </w:r>
      <w:r w:rsidR="00E15AD4">
        <w:t xml:space="preserve">ivos. Em primeiro lugar porque só no governo Dilma os salários reais, de fato, foram recompostos. </w:t>
      </w:r>
      <w:r w:rsidR="004D7F44">
        <w:t xml:space="preserve">Tal como se pode observar </w:t>
      </w:r>
      <w:r w:rsidR="00C64F1A">
        <w:t xml:space="preserve">no Quadro 7, abaixo, a despeito do salario real vir subindo desde 2005, </w:t>
      </w:r>
      <w:r w:rsidR="00C64F1A" w:rsidRPr="00C64F1A">
        <w:rPr>
          <w:b/>
        </w:rPr>
        <w:t xml:space="preserve">o arrocho </w:t>
      </w:r>
      <w:r w:rsidR="00C64F1A" w:rsidRPr="00C64F1A">
        <w:rPr>
          <w:b/>
        </w:rPr>
        <w:lastRenderedPageBreak/>
        <w:t xml:space="preserve">imposto nos anos de 2002 (Malan-Armínio) e nos primeiros dois anos da gestão Lula (Palocci-Levy-Meirelles) foi tão brutal (perda acumulada real de -14% de salario real) que só em 2010 o salario real vai superar o de 2002. </w:t>
      </w:r>
      <w:r w:rsidR="001C4D2A">
        <w:t>Em compensação, só nos três primeiros anos de Dilma, o salário real médio vai subir 10%. Numa conjuntura de “solavancos internacionais”, com instabilidade do</w:t>
      </w:r>
      <w:r w:rsidR="00A000EA">
        <w:t xml:space="preserve">s preços das </w:t>
      </w:r>
      <w:r w:rsidR="00A000EA" w:rsidRPr="007D082E">
        <w:t>commodities</w:t>
      </w:r>
      <w:r w:rsidR="00A000EA">
        <w:t xml:space="preserve"> e </w:t>
      </w:r>
      <w:r w:rsidR="001C4D2A">
        <w:t>elevação do câmbio nominal</w:t>
      </w:r>
      <w:r w:rsidR="00A000EA">
        <w:t xml:space="preserve"> (vide Quadro 6) a despeito da </w:t>
      </w:r>
      <w:proofErr w:type="spellStart"/>
      <w:r w:rsidR="00A000EA">
        <w:t>reelevação</w:t>
      </w:r>
      <w:proofErr w:type="spellEnd"/>
      <w:r w:rsidR="00A000EA">
        <w:t xml:space="preserve"> da taxa de juros. Foi o fim do pacto produtivista e do apoio da indústria à </w:t>
      </w:r>
      <w:r w:rsidR="000E75C7">
        <w:t>Presidente</w:t>
      </w:r>
      <w:r w:rsidR="00A000EA">
        <w:t xml:space="preserve">. </w:t>
      </w:r>
      <w:r w:rsidR="00A000EA" w:rsidRPr="007D082E">
        <w:rPr>
          <w:b/>
        </w:rPr>
        <w:t>O conflito distributivo havia sido reaber</w:t>
      </w:r>
      <w:r w:rsidR="003D361F" w:rsidRPr="007D082E">
        <w:rPr>
          <w:b/>
        </w:rPr>
        <w:t>to e a política industrial</w:t>
      </w:r>
      <w:r w:rsidR="00A000EA" w:rsidRPr="007D082E">
        <w:rPr>
          <w:b/>
        </w:rPr>
        <w:t xml:space="preserve"> </w:t>
      </w:r>
      <w:r w:rsidR="003D361F" w:rsidRPr="007D082E">
        <w:rPr>
          <w:b/>
        </w:rPr>
        <w:t>havia fracassado, seja como indutora do crescimento, seja como indutora de uma grande frente social e política desenvolvimentista</w:t>
      </w:r>
      <w:r w:rsidR="003D361F">
        <w:t>.</w:t>
      </w:r>
    </w:p>
    <w:p w14:paraId="4C852FDF" w14:textId="77777777" w:rsidR="00D90225" w:rsidRDefault="00A000EA" w:rsidP="00D6058D">
      <w:pPr>
        <w:pStyle w:val="Quadros"/>
      </w:pPr>
      <w:r>
        <w:t>Quadro 7</w:t>
      </w:r>
    </w:p>
    <w:p w14:paraId="2C8A5621" w14:textId="77777777" w:rsidR="00A000EA" w:rsidRDefault="00A000EA" w:rsidP="00D6058D">
      <w:pPr>
        <w:pStyle w:val="Quadros"/>
      </w:pPr>
      <w:r>
        <w:t xml:space="preserve">Evolução dos Rendimento Médio Nominal e Real da PO entre </w:t>
      </w:r>
      <w:proofErr w:type="gramStart"/>
      <w:r>
        <w:t>2002  e</w:t>
      </w:r>
      <w:proofErr w:type="gramEnd"/>
      <w:r>
        <w:t xml:space="preserve"> 2014</w:t>
      </w:r>
    </w:p>
    <w:p w14:paraId="5216FAD7" w14:textId="77777777" w:rsidR="00787438" w:rsidRDefault="00DD7356" w:rsidP="00D6058D">
      <w:pPr>
        <w:spacing w:after="0" w:line="240" w:lineRule="auto"/>
        <w:jc w:val="center"/>
      </w:pPr>
      <w:r w:rsidRPr="00DD7356">
        <w:rPr>
          <w:noProof/>
          <w:lang w:eastAsia="pt-BR"/>
        </w:rPr>
        <w:drawing>
          <wp:inline distT="0" distB="0" distL="0" distR="0" wp14:anchorId="62DB3BAD" wp14:editId="0F8D4F04">
            <wp:extent cx="4493920" cy="3061252"/>
            <wp:effectExtent l="19050" t="0" r="1880" b="0"/>
            <wp:docPr id="9"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srcRect/>
                    <a:stretch>
                      <a:fillRect/>
                    </a:stretch>
                  </pic:blipFill>
                  <pic:spPr bwMode="auto">
                    <a:xfrm>
                      <a:off x="0" y="0"/>
                      <a:ext cx="4496787" cy="3063205"/>
                    </a:xfrm>
                    <a:prstGeom prst="rect">
                      <a:avLst/>
                    </a:prstGeom>
                    <a:noFill/>
                    <a:ln w="9525">
                      <a:noFill/>
                      <a:miter lim="800000"/>
                      <a:headEnd/>
                      <a:tailEnd/>
                    </a:ln>
                  </pic:spPr>
                </pic:pic>
              </a:graphicData>
            </a:graphic>
          </wp:inline>
        </w:drawing>
      </w:r>
    </w:p>
    <w:p w14:paraId="56A1F58D" w14:textId="77777777" w:rsidR="00D90225" w:rsidRPr="00D6058D" w:rsidRDefault="00A000EA" w:rsidP="00D6058D">
      <w:pPr>
        <w:spacing w:after="0" w:line="240" w:lineRule="auto"/>
        <w:jc w:val="center"/>
        <w:rPr>
          <w:sz w:val="20"/>
        </w:rPr>
      </w:pPr>
      <w:r w:rsidRPr="00D6058D">
        <w:rPr>
          <w:sz w:val="20"/>
        </w:rPr>
        <w:t>FDB: IBGE e DIEESE</w:t>
      </w:r>
    </w:p>
    <w:p w14:paraId="1E560E32" w14:textId="77777777" w:rsidR="003D361F" w:rsidRDefault="003D361F" w:rsidP="00ED5EC2">
      <w:pPr>
        <w:spacing w:after="0"/>
      </w:pPr>
    </w:p>
    <w:p w14:paraId="666B642F" w14:textId="77777777" w:rsidR="0067003A" w:rsidRDefault="002E5E3B" w:rsidP="00310B39">
      <w:pPr>
        <w:rPr>
          <w:b/>
        </w:rPr>
      </w:pPr>
      <w:r w:rsidRPr="002E5E3B">
        <w:rPr>
          <w:b/>
        </w:rPr>
        <w:t>4. Conclusão</w:t>
      </w:r>
      <w:r w:rsidR="000271F4" w:rsidRPr="002E5E3B">
        <w:rPr>
          <w:b/>
        </w:rPr>
        <w:t xml:space="preserve"> </w:t>
      </w:r>
    </w:p>
    <w:p w14:paraId="40EF5EFA" w14:textId="1D2F3541" w:rsidR="002E5E3B" w:rsidRDefault="00F437BD" w:rsidP="00310B39">
      <w:r>
        <w:tab/>
      </w:r>
      <w:r w:rsidR="0075563E">
        <w:t>Duas grandes questões</w:t>
      </w:r>
      <w:r w:rsidR="00D32CB6">
        <w:t xml:space="preserve"> se coloca</w:t>
      </w:r>
      <w:r w:rsidR="00AC093D">
        <w:t>ra</w:t>
      </w:r>
      <w:r w:rsidR="00D32CB6">
        <w:t xml:space="preserve">m para os </w:t>
      </w:r>
      <w:r>
        <w:t>economistas brasileiros</w:t>
      </w:r>
      <w:r w:rsidR="00D32CB6">
        <w:t xml:space="preserve"> n</w:t>
      </w:r>
      <w:r w:rsidR="00AC093D">
        <w:t>o</w:t>
      </w:r>
      <w:r w:rsidR="00D32CB6">
        <w:t xml:space="preserve"> ano de 2015</w:t>
      </w:r>
      <w:r w:rsidR="00BC7B36">
        <w:t>: 1) porque</w:t>
      </w:r>
      <w:r>
        <w:t xml:space="preserve"> </w:t>
      </w:r>
      <w:r w:rsidR="00D32CB6">
        <w:t xml:space="preserve">diminuímos paulatinamente a taxa de crescimento ao longo dos </w:t>
      </w:r>
      <w:r w:rsidR="00BC7B36">
        <w:t>10</w:t>
      </w:r>
      <w:r w:rsidR="00D32CB6">
        <w:t xml:space="preserve"> </w:t>
      </w:r>
      <w:r w:rsidR="00AC093D">
        <w:t xml:space="preserve">anos precedentes, </w:t>
      </w:r>
      <w:r w:rsidR="00D32CB6">
        <w:t>até atingir a estagnação em 2014 e a queda do produto de 2015</w:t>
      </w:r>
      <w:r>
        <w:t xml:space="preserve">?; </w:t>
      </w:r>
      <w:r w:rsidR="00D32CB6">
        <w:t xml:space="preserve">e </w:t>
      </w:r>
      <w:r>
        <w:t>2) porqu</w:t>
      </w:r>
      <w:r w:rsidR="00BC7B36">
        <w:t>e Dilma rompeu com seu passado hete</w:t>
      </w:r>
      <w:r w:rsidR="00D32CB6">
        <w:t>rodoxo e promoveu a (para tantos, su</w:t>
      </w:r>
      <w:r w:rsidR="00E813F6">
        <w:t>r</w:t>
      </w:r>
      <w:r w:rsidR="00D32CB6">
        <w:t>preendente)</w:t>
      </w:r>
      <w:r w:rsidR="00BC7B36">
        <w:t xml:space="preserve"> inflexão </w:t>
      </w:r>
      <w:r w:rsidR="00D32CB6">
        <w:t xml:space="preserve">conservadora </w:t>
      </w:r>
      <w:r w:rsidR="00BC7B36">
        <w:t xml:space="preserve"> </w:t>
      </w:r>
      <w:r w:rsidR="00E813F6">
        <w:t xml:space="preserve">na política econômica no </w:t>
      </w:r>
      <w:r w:rsidR="00BC7B36">
        <w:t xml:space="preserve"> início de seu segundo mandato?</w:t>
      </w:r>
    </w:p>
    <w:p w14:paraId="3A1B78FC" w14:textId="493C7479" w:rsidR="00E50CB5" w:rsidRDefault="00BC7B36" w:rsidP="00310B39">
      <w:r>
        <w:tab/>
      </w:r>
      <w:r w:rsidR="00B573C9">
        <w:t>Primeira questão: s</w:t>
      </w:r>
      <w:r w:rsidR="007B5BBD">
        <w:t xml:space="preserve">e recusamos a hipótese de que </w:t>
      </w:r>
      <w:r w:rsidR="000C60FE">
        <w:t>“</w:t>
      </w:r>
      <w:r w:rsidR="007B5BBD">
        <w:t xml:space="preserve">Lula, o </w:t>
      </w:r>
      <w:proofErr w:type="spellStart"/>
      <w:r w:rsidR="007B5BBD">
        <w:t>keynesiano</w:t>
      </w:r>
      <w:proofErr w:type="spellEnd"/>
      <w:r w:rsidR="007B5BBD">
        <w:t>, garantia o crescimento porque apostava no investimento, enquanto Dil</w:t>
      </w:r>
      <w:r w:rsidR="000C60FE">
        <w:t>ma, a orto</w:t>
      </w:r>
      <w:r w:rsidR="00B573C9">
        <w:t>doxa, puxou o freio</w:t>
      </w:r>
      <w:r w:rsidR="000C60FE">
        <w:t>”</w:t>
      </w:r>
      <w:r w:rsidR="00140354">
        <w:t>;</w:t>
      </w:r>
      <w:r w:rsidR="007B5BBD">
        <w:t xml:space="preserve"> </w:t>
      </w:r>
      <w:r w:rsidR="00140354">
        <w:t xml:space="preserve">e </w:t>
      </w:r>
      <w:r w:rsidR="00E813F6">
        <w:lastRenderedPageBreak/>
        <w:t xml:space="preserve">1) reconhecemos que Dilma já </w:t>
      </w:r>
      <w:r w:rsidR="000F4C60">
        <w:t xml:space="preserve">participava da coordenação da </w:t>
      </w:r>
      <w:r w:rsidR="00E813F6">
        <w:t xml:space="preserve">política econômica das gestões petistas desde o afastamento de Palocci; e 2) </w:t>
      </w:r>
      <w:r w:rsidR="00140354">
        <w:t xml:space="preserve">buscamos determinações materiais um pouco mais amplas (mas não tão amplas quanto </w:t>
      </w:r>
      <w:r w:rsidR="00E16FA7">
        <w:t>“o</w:t>
      </w:r>
      <w:r w:rsidR="003D361F">
        <w:t xml:space="preserve"> cenário internacional é este e não há nada a fazer”</w:t>
      </w:r>
      <w:r w:rsidR="00140354">
        <w:t>)</w:t>
      </w:r>
      <w:r w:rsidR="00E813F6">
        <w:t xml:space="preserve">; então </w:t>
      </w:r>
      <w:r w:rsidR="00140354">
        <w:t xml:space="preserve"> há que se concluir que </w:t>
      </w:r>
      <w:r w:rsidR="00E813F6" w:rsidRPr="00E813F6">
        <w:rPr>
          <w:b/>
        </w:rPr>
        <w:t xml:space="preserve">ao </w:t>
      </w:r>
      <w:r w:rsidR="00E813F6">
        <w:rPr>
          <w:b/>
        </w:rPr>
        <w:t>longo dos vinte anos de vigência do Plano Real (e doze anos de gestão petista)</w:t>
      </w:r>
      <w:r w:rsidR="00E813F6" w:rsidRPr="007D082E">
        <w:rPr>
          <w:b/>
        </w:rPr>
        <w:t xml:space="preserve"> </w:t>
      </w:r>
      <w:r w:rsidR="00140354" w:rsidRPr="000F012B">
        <w:rPr>
          <w:b/>
        </w:rPr>
        <w:t>não nos preparamos para a deterioração da economia mundial</w:t>
      </w:r>
      <w:r w:rsidR="00E813F6">
        <w:rPr>
          <w:b/>
        </w:rPr>
        <w:t>; muito antes pelo contrário</w:t>
      </w:r>
      <w:r w:rsidR="00140354" w:rsidRPr="000F012B">
        <w:rPr>
          <w:b/>
        </w:rPr>
        <w:t xml:space="preserve">. </w:t>
      </w:r>
      <w:r w:rsidR="000F012B" w:rsidRPr="000F012B">
        <w:rPr>
          <w:b/>
        </w:rPr>
        <w:t xml:space="preserve">O Brasil se tornou um país </w:t>
      </w:r>
      <w:r w:rsidR="00E16FA7">
        <w:rPr>
          <w:b/>
        </w:rPr>
        <w:t xml:space="preserve">exportador de </w:t>
      </w:r>
      <w:r w:rsidR="00E16FA7" w:rsidRPr="007D082E">
        <w:rPr>
          <w:b/>
        </w:rPr>
        <w:t>commodities</w:t>
      </w:r>
      <w:r w:rsidR="00E813F6">
        <w:rPr>
          <w:b/>
        </w:rPr>
        <w:t xml:space="preserve">, ao longo deste período. </w:t>
      </w:r>
      <w:r w:rsidR="000F012B" w:rsidRPr="000F012B">
        <w:rPr>
          <w:b/>
        </w:rPr>
        <w:t xml:space="preserve">Nos desindustrializamos ao longo de vinte anos de Plano Real. E o fizemos </w:t>
      </w:r>
      <w:r w:rsidR="000F4C60">
        <w:rPr>
          <w:b/>
        </w:rPr>
        <w:t>tanto nos</w:t>
      </w:r>
      <w:r w:rsidR="000F012B" w:rsidRPr="000F012B">
        <w:rPr>
          <w:b/>
        </w:rPr>
        <w:t xml:space="preserve"> oito anos de governo </w:t>
      </w:r>
      <w:r w:rsidR="00E813F6">
        <w:rPr>
          <w:b/>
        </w:rPr>
        <w:t xml:space="preserve">tucano </w:t>
      </w:r>
      <w:r w:rsidR="000F4C60">
        <w:rPr>
          <w:b/>
        </w:rPr>
        <w:t xml:space="preserve">quanto nos </w:t>
      </w:r>
      <w:r w:rsidR="00E813F6">
        <w:rPr>
          <w:b/>
        </w:rPr>
        <w:t>do</w:t>
      </w:r>
      <w:r w:rsidR="000455A3">
        <w:rPr>
          <w:b/>
        </w:rPr>
        <w:t>ze anos de gestão que se pretendia</w:t>
      </w:r>
      <w:r w:rsidR="00E813F6">
        <w:rPr>
          <w:b/>
        </w:rPr>
        <w:t xml:space="preserve"> </w:t>
      </w:r>
      <w:r w:rsidR="000455A3">
        <w:rPr>
          <w:b/>
        </w:rPr>
        <w:t>“nacional-</w:t>
      </w:r>
      <w:proofErr w:type="spellStart"/>
      <w:r w:rsidR="000455A3">
        <w:rPr>
          <w:b/>
        </w:rPr>
        <w:t>desenvolvimenista</w:t>
      </w:r>
      <w:proofErr w:type="spellEnd"/>
      <w:r w:rsidR="000455A3">
        <w:rPr>
          <w:b/>
        </w:rPr>
        <w:t>”</w:t>
      </w:r>
      <w:r w:rsidR="000F012B" w:rsidRPr="000F012B">
        <w:rPr>
          <w:b/>
        </w:rPr>
        <w:t>.</w:t>
      </w:r>
      <w:r w:rsidR="000F012B">
        <w:t xml:space="preserve"> E</w:t>
      </w:r>
      <w:r w:rsidR="00E50CB5">
        <w:t xml:space="preserve">sta é a raiz da nossa crise: </w:t>
      </w:r>
      <w:r w:rsidR="00B802E9">
        <w:t xml:space="preserve">a despeito de nossa dimensão continental, </w:t>
      </w:r>
      <w:r w:rsidR="00E50CB5">
        <w:t>somos uma economia frágil, sem estrutura para responder com um mínimo de autonomia e projeto</w:t>
      </w:r>
      <w:r w:rsidR="00B802E9">
        <w:t xml:space="preserve"> </w:t>
      </w:r>
      <w:r w:rsidR="002C0526">
        <w:t>nacional à crise mundial;</w:t>
      </w:r>
      <w:r w:rsidR="00B802E9">
        <w:t xml:space="preserve"> e sem um</w:t>
      </w:r>
      <w:r w:rsidR="00E16FA7">
        <w:t xml:space="preserve"> horizonte </w:t>
      </w:r>
      <w:r w:rsidR="00B802E9">
        <w:t xml:space="preserve">sólido </w:t>
      </w:r>
      <w:r w:rsidR="00E16FA7">
        <w:t xml:space="preserve">de mercado </w:t>
      </w:r>
      <w:r w:rsidR="00B802E9">
        <w:t xml:space="preserve">interno a oferecer para estimular o </w:t>
      </w:r>
      <w:r w:rsidR="00E16FA7">
        <w:t>investimento da indús</w:t>
      </w:r>
      <w:r w:rsidR="00B802E9">
        <w:t xml:space="preserve">tria nacional </w:t>
      </w:r>
      <w:r w:rsidR="007F2363">
        <w:t xml:space="preserve">(sucateada pela concorrência externa) </w:t>
      </w:r>
      <w:r w:rsidR="00B802E9">
        <w:t>malgrado toda a redistribuição dos últimos 12 anos</w:t>
      </w:r>
      <w:r w:rsidR="00E50CB5">
        <w:t>.</w:t>
      </w:r>
      <w:r w:rsidR="000F012B">
        <w:t xml:space="preserve"> </w:t>
      </w:r>
    </w:p>
    <w:p w14:paraId="4AFD1F0F" w14:textId="0A91B354" w:rsidR="002E633E" w:rsidRDefault="00731BCA" w:rsidP="00310B39">
      <w:pPr>
        <w:ind w:firstLine="720"/>
      </w:pPr>
      <w:r>
        <w:t>Segunda questão: p</w:t>
      </w:r>
      <w:r w:rsidR="00E50CB5">
        <w:t>or</w:t>
      </w:r>
      <w:r>
        <w:t xml:space="preserve"> </w:t>
      </w:r>
      <w:r w:rsidR="00E50CB5">
        <w:t xml:space="preserve">que </w:t>
      </w:r>
      <w:r w:rsidR="00787438">
        <w:t xml:space="preserve">a Presidente </w:t>
      </w:r>
      <w:r w:rsidR="00E50CB5">
        <w:t xml:space="preserve">Dilma </w:t>
      </w:r>
      <w:r w:rsidR="000455A3">
        <w:t xml:space="preserve">adota uma política fiscal </w:t>
      </w:r>
      <w:proofErr w:type="spellStart"/>
      <w:r w:rsidR="000455A3">
        <w:t>ultra-conservadora</w:t>
      </w:r>
      <w:proofErr w:type="spellEnd"/>
      <w:r w:rsidR="00E50CB5">
        <w:t xml:space="preserve">? Esta já é uma pergunta bem </w:t>
      </w:r>
      <w:r w:rsidR="0083103C">
        <w:t>m</w:t>
      </w:r>
      <w:r w:rsidR="00730E02">
        <w:t>ais complexa de responder</w:t>
      </w:r>
      <w:r w:rsidR="000455A3">
        <w:t>, pois aqui entramos no reino das especulações.</w:t>
      </w:r>
      <w:r w:rsidR="00730E02">
        <w:t xml:space="preserve"> </w:t>
      </w:r>
      <w:r w:rsidR="000E75C7">
        <w:t>Mas que</w:t>
      </w:r>
      <w:r w:rsidR="00891418">
        <w:t>r nos p</w:t>
      </w:r>
      <w:r w:rsidR="000E75C7">
        <w:t xml:space="preserve">arecer que a Presidente se </w:t>
      </w:r>
      <w:proofErr w:type="gramStart"/>
      <w:r w:rsidR="000E75C7">
        <w:t xml:space="preserve">convenceu </w:t>
      </w:r>
      <w:r w:rsidR="0083103C">
        <w:t xml:space="preserve"> </w:t>
      </w:r>
      <w:r w:rsidR="002E633E">
        <w:t>da</w:t>
      </w:r>
      <w:proofErr w:type="gramEnd"/>
      <w:r w:rsidR="002E633E">
        <w:t xml:space="preserve"> necessidade de depreciar significativamente o real para recuperar o crescimento econômico e </w:t>
      </w:r>
      <w:proofErr w:type="spellStart"/>
      <w:r w:rsidR="002E633E">
        <w:t>re-industrializar</w:t>
      </w:r>
      <w:proofErr w:type="spellEnd"/>
      <w:r w:rsidR="002E633E">
        <w:t>. E, para tanto, necessitaria: 1) dialogar e trabalhar conjuntamente com o Bacen na queda da taxa de juros</w:t>
      </w:r>
      <w:r w:rsidR="007F2363">
        <w:t xml:space="preserve"> e </w:t>
      </w:r>
      <w:r w:rsidR="002C0526">
        <w:t xml:space="preserve">na construção da </w:t>
      </w:r>
      <w:r w:rsidR="007F2363">
        <w:t>depreciação</w:t>
      </w:r>
      <w:r w:rsidR="002E633E">
        <w:t>; 2) i</w:t>
      </w:r>
      <w:r w:rsidR="00956669">
        <w:t xml:space="preserve">mpedir que o choque inflacionário advindo da depreciação se reproduzisse e se tornasse inercial. </w:t>
      </w:r>
      <w:r w:rsidR="00956669" w:rsidRPr="007D082E">
        <w:rPr>
          <w:b/>
        </w:rPr>
        <w:t xml:space="preserve">Mais do que a conquista efetiva de superávits </w:t>
      </w:r>
      <w:r w:rsidR="000F4C60">
        <w:rPr>
          <w:b/>
        </w:rPr>
        <w:t xml:space="preserve">fiscais </w:t>
      </w:r>
      <w:r w:rsidR="00956669" w:rsidRPr="007D082E">
        <w:rPr>
          <w:b/>
        </w:rPr>
        <w:t>primários através da redução do</w:t>
      </w:r>
      <w:r w:rsidR="002C0526" w:rsidRPr="007D082E">
        <w:rPr>
          <w:b/>
        </w:rPr>
        <w:t>s</w:t>
      </w:r>
      <w:r w:rsidR="00956669" w:rsidRPr="007D082E">
        <w:rPr>
          <w:b/>
        </w:rPr>
        <w:t xml:space="preserve"> gas</w:t>
      </w:r>
      <w:r w:rsidR="000A44F0" w:rsidRPr="007D082E">
        <w:rPr>
          <w:b/>
        </w:rPr>
        <w:t xml:space="preserve">tos governamentais, </w:t>
      </w:r>
      <w:r w:rsidR="00787438" w:rsidRPr="007D082E">
        <w:rPr>
          <w:b/>
        </w:rPr>
        <w:t xml:space="preserve">a Presidente </w:t>
      </w:r>
      <w:r w:rsidR="000A44F0" w:rsidRPr="007D082E">
        <w:rPr>
          <w:b/>
        </w:rPr>
        <w:t xml:space="preserve">estaria buscando, pela depressão da atividade econômica, gerar a depressão dos salários nominais necessária à absorção </w:t>
      </w:r>
      <w:r w:rsidR="002C0526" w:rsidRPr="007D082E">
        <w:rPr>
          <w:b/>
        </w:rPr>
        <w:t>do impacto dos custos associado</w:t>
      </w:r>
      <w:r w:rsidR="000A44F0" w:rsidRPr="007D082E">
        <w:rPr>
          <w:b/>
        </w:rPr>
        <w:t xml:space="preserve"> à depreciação do real com um mínimo de repique inflacionário no IPCA </w:t>
      </w:r>
      <w:proofErr w:type="spellStart"/>
      <w:r w:rsidR="000A44F0" w:rsidRPr="007D082E">
        <w:rPr>
          <w:b/>
          <w:i/>
        </w:rPr>
        <w:t>tradable</w:t>
      </w:r>
      <w:proofErr w:type="spellEnd"/>
      <w:r w:rsidR="007F2363" w:rsidRPr="007D082E">
        <w:rPr>
          <w:b/>
        </w:rPr>
        <w:t xml:space="preserve">. </w:t>
      </w:r>
      <w:r w:rsidR="007F2363">
        <w:t xml:space="preserve"> Com isto,</w:t>
      </w:r>
      <w:r w:rsidR="000A44F0">
        <w:t xml:space="preserve"> a margem de </w:t>
      </w:r>
      <w:r w:rsidR="00787438">
        <w:t xml:space="preserve">lucro industrial seria expandida duplamente: </w:t>
      </w:r>
      <w:r w:rsidR="000A44F0">
        <w:t>pela depressão dos custos</w:t>
      </w:r>
      <w:r w:rsidR="00F42907">
        <w:t xml:space="preserve"> salariais</w:t>
      </w:r>
      <w:r w:rsidR="000A44F0">
        <w:t xml:space="preserve"> e pela elevação do grau de monopólio</w:t>
      </w:r>
      <w:r w:rsidR="000455A3">
        <w:t xml:space="preserve"> via </w:t>
      </w:r>
      <w:proofErr w:type="gramStart"/>
      <w:r w:rsidR="000455A3">
        <w:t>depreciação</w:t>
      </w:r>
      <w:r w:rsidR="00787438">
        <w:t xml:space="preserve">; </w:t>
      </w:r>
      <w:r w:rsidR="000A44F0">
        <w:t xml:space="preserve"> </w:t>
      </w:r>
      <w:r w:rsidR="007F2363">
        <w:t>a</w:t>
      </w:r>
      <w:r w:rsidR="00787438">
        <w:t>o</w:t>
      </w:r>
      <w:proofErr w:type="gramEnd"/>
      <w:r w:rsidR="00787438">
        <w:t xml:space="preserve"> mesmo tempo em que seria </w:t>
      </w:r>
      <w:r w:rsidR="00F42907">
        <w:t>discretamente depri</w:t>
      </w:r>
      <w:r w:rsidR="007F2363">
        <w:t>mida pela elevação dos custos das</w:t>
      </w:r>
      <w:r w:rsidR="002C0526">
        <w:t xml:space="preserve"> matérias primas. E </w:t>
      </w:r>
      <w:r w:rsidR="007F2363">
        <w:t xml:space="preserve">haveria </w:t>
      </w:r>
      <w:r w:rsidR="002C0526">
        <w:t>horizonte para a retomada do investimento</w:t>
      </w:r>
      <w:r w:rsidR="00F42907">
        <w:t xml:space="preserve">. </w:t>
      </w:r>
    </w:p>
    <w:p w14:paraId="0CF34B31" w14:textId="3FCBB302" w:rsidR="00C13DB2" w:rsidRDefault="007400EA" w:rsidP="00A44215">
      <w:r>
        <w:tab/>
        <w:t>Em suma: do nosso ponto de vista a inflexão “</w:t>
      </w:r>
      <w:proofErr w:type="spellStart"/>
      <w:r>
        <w:t>austericida</w:t>
      </w:r>
      <w:proofErr w:type="spellEnd"/>
      <w:r>
        <w:t>” do segundo mandato de Dilma se explica pela percepção da impossibilidade de obter a flexibilização da política monetária e cambial por parte do (já autônomo</w:t>
      </w:r>
      <w:r w:rsidR="000D4D3C">
        <w:t xml:space="preserve">) Bacen sem conceder uma política fiscal restritivamente anti-inflacionária. E isto na medida em que todos os esforços de controle de preços monitorados e de defesa da margem de lucro empresarial via desonerações já haviam </w:t>
      </w:r>
      <w:r w:rsidR="000D4D3C">
        <w:lastRenderedPageBreak/>
        <w:t>sido levados ao limite, com resultados relativamente medíocres. M</w:t>
      </w:r>
      <w:r w:rsidR="00C13DB2">
        <w:t>antida a equação do primeiro mandato de Dilma, a inflação em não-</w:t>
      </w:r>
      <w:proofErr w:type="spellStart"/>
      <w:r w:rsidR="00C13DB2" w:rsidRPr="00C13DB2">
        <w:rPr>
          <w:i/>
        </w:rPr>
        <w:t>tradables</w:t>
      </w:r>
      <w:proofErr w:type="spellEnd"/>
      <w:r w:rsidR="00C13DB2">
        <w:t xml:space="preserve"> </w:t>
      </w:r>
      <w:r w:rsidR="00640492">
        <w:t xml:space="preserve">iria explodir </w:t>
      </w:r>
      <w:r w:rsidR="000D4D3C">
        <w:t xml:space="preserve">pela pressão salarial </w:t>
      </w:r>
      <w:r w:rsidR="00640492">
        <w:t>(vide Quadro 1)</w:t>
      </w:r>
      <w:r w:rsidR="00C13DB2">
        <w:t>, levando</w:t>
      </w:r>
      <w:r w:rsidR="00640492">
        <w:t xml:space="preserve"> o Bacen </w:t>
      </w:r>
      <w:r w:rsidR="00C13DB2">
        <w:t xml:space="preserve">a </w:t>
      </w:r>
      <w:r w:rsidR="00787438">
        <w:t>e</w:t>
      </w:r>
      <w:r w:rsidR="00C13DB2">
        <w:t>levar</w:t>
      </w:r>
      <w:r w:rsidR="00640492">
        <w:t xml:space="preserve"> os juros para 20% ao ano ou mais numa (</w:t>
      </w:r>
      <w:proofErr w:type="spellStart"/>
      <w:r w:rsidR="00640492">
        <w:t>ine</w:t>
      </w:r>
      <w:proofErr w:type="spellEnd"/>
      <w:r w:rsidR="00640492">
        <w:t>)</w:t>
      </w:r>
      <w:proofErr w:type="spellStart"/>
      <w:r w:rsidR="00640492">
        <w:t>quação</w:t>
      </w:r>
      <w:proofErr w:type="spellEnd"/>
      <w:r w:rsidR="00640492">
        <w:t xml:space="preserve"> insana. </w:t>
      </w:r>
    </w:p>
    <w:p w14:paraId="6C98422F" w14:textId="12996048" w:rsidR="0075181D" w:rsidRDefault="00C13DB2" w:rsidP="00CF3E68">
      <w:pPr>
        <w:ind w:firstLine="720"/>
      </w:pPr>
      <w:r>
        <w:t>A questão que, infelizmente escapou à Presidente Dilma e ao conjunto de seus auxiliares (inclusive, aparentemente, no período em que Dilma não era Presidente, o que é muito mais preocupante) é que</w:t>
      </w:r>
      <w:r w:rsidR="00640492">
        <w:t xml:space="preserve"> e</w:t>
      </w:r>
      <w:r w:rsidR="00F42907">
        <w:t xml:space="preserve">xistem </w:t>
      </w:r>
      <w:r w:rsidR="00787438">
        <w:t xml:space="preserve">diversas </w:t>
      </w:r>
      <w:r w:rsidR="00F42907">
        <w:t>alternativas</w:t>
      </w:r>
      <w:r w:rsidR="00640492">
        <w:t xml:space="preserve"> que não passam pelo resgate do arrocho </w:t>
      </w:r>
      <w:proofErr w:type="spellStart"/>
      <w:r w:rsidR="00640492">
        <w:t>palocciano</w:t>
      </w:r>
      <w:proofErr w:type="spellEnd"/>
      <w:r w:rsidR="00640492">
        <w:t xml:space="preserve"> de 2003</w:t>
      </w:r>
      <w:r w:rsidR="00787438">
        <w:t xml:space="preserve">, que levou a uma queda de salários de </w:t>
      </w:r>
      <w:r w:rsidR="00ED5EC2">
        <w:t>quase 10% em um único ano</w:t>
      </w:r>
      <w:r w:rsidR="00640492">
        <w:t xml:space="preserve"> (vide Quadro 7)</w:t>
      </w:r>
      <w:r w:rsidR="00F42907">
        <w:t xml:space="preserve">. </w:t>
      </w:r>
      <w:r w:rsidR="00630606" w:rsidRPr="007D082E">
        <w:rPr>
          <w:b/>
        </w:rPr>
        <w:t>A</w:t>
      </w:r>
      <w:r w:rsidR="00C000AD" w:rsidRPr="007D082E">
        <w:rPr>
          <w:b/>
        </w:rPr>
        <w:t>lternativas</w:t>
      </w:r>
      <w:r w:rsidR="00ED5EC2" w:rsidRPr="007D082E">
        <w:rPr>
          <w:b/>
        </w:rPr>
        <w:t>, por sinal,</w:t>
      </w:r>
      <w:r w:rsidR="00C000AD" w:rsidRPr="007D082E">
        <w:rPr>
          <w:b/>
        </w:rPr>
        <w:t xml:space="preserve"> conhecidas do antigo </w:t>
      </w:r>
      <w:r w:rsidR="00630606" w:rsidRPr="007D082E">
        <w:rPr>
          <w:b/>
        </w:rPr>
        <w:t xml:space="preserve">PT gestor municipal, que buscava aproximar o produtor rural do consumidor, que se deparava com limitações de recursos e </w:t>
      </w:r>
      <w:r w:rsidR="00493457" w:rsidRPr="007D082E">
        <w:rPr>
          <w:b/>
        </w:rPr>
        <w:t xml:space="preserve">trabalhava mais </w:t>
      </w:r>
      <w:r w:rsidR="00630606" w:rsidRPr="007D082E">
        <w:rPr>
          <w:b/>
        </w:rPr>
        <w:t>na alavancagem da concorrência do que na concessão de subsídios para a el</w:t>
      </w:r>
      <w:r w:rsidR="001F74EB" w:rsidRPr="007D082E">
        <w:rPr>
          <w:b/>
        </w:rPr>
        <w:t>evação da produtividade</w:t>
      </w:r>
      <w:r w:rsidR="00493457" w:rsidRPr="007D082E">
        <w:rPr>
          <w:b/>
        </w:rPr>
        <w:t>, que trabalhava mais no enfrentamento do grau de monopólio do que na promoção de oligopólios</w:t>
      </w:r>
      <w:r w:rsidR="001F74EB" w:rsidRPr="007D082E">
        <w:rPr>
          <w:b/>
        </w:rPr>
        <w:t>.</w:t>
      </w:r>
      <w:r w:rsidR="001F74EB">
        <w:t xml:space="preserve"> No Governo Fed</w:t>
      </w:r>
      <w:r w:rsidR="00ED5EC2">
        <w:t xml:space="preserve">eral, o PT viu-se mais e mais envolvido em </w:t>
      </w:r>
      <w:r w:rsidR="001F74EB">
        <w:t>debate</w:t>
      </w:r>
      <w:r w:rsidR="00ED5EC2">
        <w:t>s</w:t>
      </w:r>
      <w:r w:rsidR="001F74EB">
        <w:t xml:space="preserve"> e</w:t>
      </w:r>
      <w:r w:rsidR="00ED5EC2">
        <w:t xml:space="preserve">xclusivamente </w:t>
      </w:r>
      <w:r w:rsidR="001F74EB">
        <w:t>“macroeconômico</w:t>
      </w:r>
      <w:r w:rsidR="00493457">
        <w:t>s</w:t>
      </w:r>
      <w:r w:rsidR="001F74EB">
        <w:t xml:space="preserve">”. Os temas variam muito pouco - câmbio, juros, superávit fiscal, desonerações, política salarial, TJLP, Política Industrial, </w:t>
      </w:r>
      <w:proofErr w:type="gramStart"/>
      <w:r w:rsidR="001F74EB">
        <w:t>Logística</w:t>
      </w:r>
      <w:proofErr w:type="gramEnd"/>
      <w:r w:rsidR="001F74EB">
        <w:t xml:space="preserve">, etc. – e envolvem cifras bilionárias. </w:t>
      </w:r>
      <w:r w:rsidR="001F74EB" w:rsidRPr="007D082E">
        <w:rPr>
          <w:b/>
        </w:rPr>
        <w:t>Mas</w:t>
      </w:r>
      <w:r w:rsidR="001F74EB" w:rsidRPr="00CF3E68">
        <w:rPr>
          <w:b/>
        </w:rPr>
        <w:t xml:space="preserve"> se</w:t>
      </w:r>
      <w:r w:rsidR="001F74EB" w:rsidRPr="007D082E">
        <w:rPr>
          <w:b/>
        </w:rPr>
        <w:t xml:space="preserve"> se quer enfrentar a âncora cambial, garantir ganhos de salário real e promover a </w:t>
      </w:r>
      <w:proofErr w:type="spellStart"/>
      <w:r w:rsidR="001F74EB" w:rsidRPr="007D082E">
        <w:rPr>
          <w:b/>
        </w:rPr>
        <w:t>reindustrializção</w:t>
      </w:r>
      <w:proofErr w:type="spellEnd"/>
      <w:r w:rsidR="001F74EB" w:rsidRPr="007D082E">
        <w:rPr>
          <w:b/>
        </w:rPr>
        <w:t xml:space="preserve"> os temas devem ser outros. Eles devem girar sobre a questão de </w:t>
      </w:r>
      <w:r w:rsidR="001F74EB" w:rsidRPr="007D082E">
        <w:rPr>
          <w:b/>
          <w:i/>
        </w:rPr>
        <w:t xml:space="preserve">como transferir </w:t>
      </w:r>
      <w:r w:rsidR="0075181D" w:rsidRPr="007D082E">
        <w:rPr>
          <w:b/>
          <w:i/>
        </w:rPr>
        <w:t>os ganhos de produtividade</w:t>
      </w:r>
      <w:r w:rsidR="0075181D" w:rsidRPr="007D082E">
        <w:rPr>
          <w:b/>
        </w:rPr>
        <w:t xml:space="preserve"> (sejam os por vir, sejam os já </w:t>
      </w:r>
      <w:r w:rsidR="00493457" w:rsidRPr="007D082E">
        <w:rPr>
          <w:b/>
        </w:rPr>
        <w:t xml:space="preserve">existentes, já </w:t>
      </w:r>
      <w:r w:rsidR="0075181D" w:rsidRPr="007D082E">
        <w:rPr>
          <w:b/>
        </w:rPr>
        <w:t xml:space="preserve">conquistados) para </w:t>
      </w:r>
      <w:r w:rsidR="00493457" w:rsidRPr="007D082E">
        <w:rPr>
          <w:b/>
        </w:rPr>
        <w:t>os elos competitivos d</w:t>
      </w:r>
      <w:r w:rsidR="0075181D" w:rsidRPr="007D082E">
        <w:rPr>
          <w:b/>
        </w:rPr>
        <w:t>a indústria e para</w:t>
      </w:r>
      <w:r w:rsidR="00ED5EC2" w:rsidRPr="007D082E">
        <w:rPr>
          <w:b/>
        </w:rPr>
        <w:t xml:space="preserve"> os consumidores</w:t>
      </w:r>
      <w:r w:rsidR="00ED5EC2" w:rsidRPr="00CF3E68">
        <w:rPr>
          <w:b/>
        </w:rPr>
        <w:t>!</w:t>
      </w:r>
      <w:r w:rsidR="0075181D" w:rsidRPr="007D082E">
        <w:rPr>
          <w:b/>
        </w:rPr>
        <w:t xml:space="preserve"> </w:t>
      </w:r>
      <w:r w:rsidR="0075181D">
        <w:t>Não adiant</w:t>
      </w:r>
      <w:r w:rsidR="00BF582A">
        <w:t>a</w:t>
      </w:r>
      <w:r w:rsidR="0075181D">
        <w:t xml:space="preserve"> inv</w:t>
      </w:r>
      <w:r w:rsidR="00493457">
        <w:t>estir em logística se isto não resultar em depressão</w:t>
      </w:r>
      <w:r w:rsidR="0075181D">
        <w:t xml:space="preserve"> </w:t>
      </w:r>
      <w:r w:rsidR="00493457">
        <w:t>dos custos de transporte; n</w:t>
      </w:r>
      <w:r w:rsidR="0075181D">
        <w:t>ão adianta aumentar a produção de</w:t>
      </w:r>
      <w:r w:rsidR="00493457">
        <w:t xml:space="preserve"> alimentos e matérias-primas se</w:t>
      </w:r>
      <w:r w:rsidR="0075181D">
        <w:t xml:space="preserve"> </w:t>
      </w:r>
      <w:r w:rsidR="00493457">
        <w:t xml:space="preserve">isto não resultar em depressão dos </w:t>
      </w:r>
      <w:r w:rsidR="00960D7B">
        <w:t>custos da alimentação do</w:t>
      </w:r>
      <w:r w:rsidR="0075181D">
        <w:t>s trabalhadores e das ma</w:t>
      </w:r>
      <w:r w:rsidR="00960D7B">
        <w:t xml:space="preserve">térias-primas para a indústria; </w:t>
      </w:r>
      <w:r w:rsidR="00960D7B" w:rsidRPr="00960D7B">
        <w:rPr>
          <w:b/>
        </w:rPr>
        <w:t>vale dizer, se isto não resultar em deflação</w:t>
      </w:r>
      <w:r w:rsidR="007400EA">
        <w:rPr>
          <w:b/>
        </w:rPr>
        <w:t xml:space="preserve"> setorial</w:t>
      </w:r>
      <w:r w:rsidR="00960D7B">
        <w:t xml:space="preserve">. O controle efetivo da inflação é obtido quando a elevação dos preços em alguns setores é </w:t>
      </w:r>
      <w:proofErr w:type="spellStart"/>
      <w:r w:rsidR="00960D7B">
        <w:t>contrarrestado</w:t>
      </w:r>
      <w:proofErr w:type="spellEnd"/>
      <w:r w:rsidR="00960D7B">
        <w:t xml:space="preserve"> pela deflação de outros. A pergunta é: porque são tão raros os setores no Brasil que reduzem </w:t>
      </w:r>
      <w:proofErr w:type="gramStart"/>
      <w:r w:rsidR="00960D7B">
        <w:t>seus preço</w:t>
      </w:r>
      <w:proofErr w:type="gramEnd"/>
      <w:r w:rsidR="00960D7B">
        <w:t xml:space="preserve">? O que os impede? Como estimulá-los a agirem como em </w:t>
      </w:r>
      <w:r w:rsidR="00CF1E59">
        <w:t>“</w:t>
      </w:r>
      <w:r w:rsidR="00960D7B">
        <w:t xml:space="preserve">países normais”? </w:t>
      </w:r>
    </w:p>
    <w:p w14:paraId="282FE56F" w14:textId="00B3C1A0" w:rsidR="002E5E3B" w:rsidRDefault="0075181D" w:rsidP="00ED5EC2">
      <w:pPr>
        <w:ind w:firstLine="720"/>
      </w:pPr>
      <w:r>
        <w:t xml:space="preserve">Esta deveria ser a pauta dos 8 anos de Lula. E </w:t>
      </w:r>
      <w:r w:rsidR="00C000AD">
        <w:t>deveria ser o programa à</w:t>
      </w:r>
      <w:r>
        <w:t xml:space="preserve"> disposição de Dilma no início do primeiro mandato. Sem isto, e com o fracasso da iniciativa do mandato anterior, Dilma tentou uma virada radical: retomar a iniciativa de Palocci no primeiro mandato de Lula</w:t>
      </w:r>
      <w:r w:rsidR="00323E29">
        <w:t xml:space="preserve">, fazendo </w:t>
      </w:r>
      <w:proofErr w:type="gramStart"/>
      <w:r w:rsidR="00323E29">
        <w:t xml:space="preserve">um gestão fiscal </w:t>
      </w:r>
      <w:r>
        <w:t>conservadora</w:t>
      </w:r>
      <w:proofErr w:type="gramEnd"/>
      <w:r>
        <w:t xml:space="preserve"> com vistas a baixar salários nominais e re</w:t>
      </w:r>
      <w:r w:rsidR="00A10A62">
        <w:t xml:space="preserve">erguer as margens de lucro da indústria e </w:t>
      </w:r>
      <w:r w:rsidR="00C000AD">
        <w:t xml:space="preserve">retomar o </w:t>
      </w:r>
      <w:r w:rsidR="00A10A62">
        <w:t xml:space="preserve">diálogo com o Bacen em novos termos. </w:t>
      </w:r>
      <w:r w:rsidR="0095211B">
        <w:t xml:space="preserve">Esta estratégia não </w:t>
      </w:r>
      <w:r w:rsidR="007400EA">
        <w:t xml:space="preserve">se mostrou </w:t>
      </w:r>
      <w:r w:rsidR="0095211B">
        <w:t xml:space="preserve">sustentável. </w:t>
      </w:r>
      <w:r w:rsidR="00CF3E68">
        <w:t>Porém</w:t>
      </w:r>
      <w:r w:rsidR="006A51E9">
        <w:t xml:space="preserve">, dado que a heterodoxia nunca tentou sequer produzir um plano de </w:t>
      </w:r>
      <w:proofErr w:type="spellStart"/>
      <w:r w:rsidR="006A51E9">
        <w:t>desancoragem</w:t>
      </w:r>
      <w:proofErr w:type="spellEnd"/>
      <w:r w:rsidR="006A51E9">
        <w:t xml:space="preserve"> </w:t>
      </w:r>
      <w:r w:rsidR="007400EA">
        <w:t xml:space="preserve">cambial </w:t>
      </w:r>
      <w:r w:rsidR="006A51E9">
        <w:t>menos traumático, prefer</w:t>
      </w:r>
      <w:r w:rsidR="00CF3E68">
        <w:t xml:space="preserve">indo negar, sofismar ou </w:t>
      </w:r>
      <w:r w:rsidR="00CF3E68">
        <w:lastRenderedPageBreak/>
        <w:t>ignorar</w:t>
      </w:r>
      <w:r w:rsidR="006A51E9">
        <w:t xml:space="preserve"> a questão da sobrevalorização </w:t>
      </w:r>
      <w:r w:rsidR="007400EA">
        <w:t>da moeda nacional</w:t>
      </w:r>
      <w:r w:rsidR="006A51E9">
        <w:t xml:space="preserve">, deveria, pelo menos, mostrar-se menos surpresa </w:t>
      </w:r>
      <w:r w:rsidR="007400EA">
        <w:t xml:space="preserve">e avessa a </w:t>
      </w:r>
      <w:r w:rsidR="006A51E9">
        <w:t>esta o</w:t>
      </w:r>
      <w:r w:rsidR="00340941">
        <w:t>pção</w:t>
      </w:r>
    </w:p>
    <w:p w14:paraId="50819D94" w14:textId="77777777" w:rsidR="00C60757" w:rsidRDefault="00C60757" w:rsidP="00310B39">
      <w:r>
        <w:t>BIBLIOGRAFIA</w:t>
      </w:r>
    </w:p>
    <w:p w14:paraId="178710D5" w14:textId="77777777" w:rsidR="008A104A" w:rsidRDefault="008A104A" w:rsidP="003145DE">
      <w:pPr>
        <w:spacing w:before="120" w:after="0" w:line="240" w:lineRule="auto"/>
        <w:ind w:left="510" w:hanging="510"/>
        <w:rPr>
          <w:rFonts w:cs="Times New Roman"/>
        </w:rPr>
      </w:pPr>
      <w:r>
        <w:rPr>
          <w:rFonts w:cs="Times New Roman"/>
        </w:rPr>
        <w:t xml:space="preserve">ALMEIDA, E. et al. (2015) “Impactos da contenção dos preços de combustíveis no Brasil e opções de mecanismos de precificação” </w:t>
      </w:r>
      <w:r>
        <w:rPr>
          <w:rFonts w:cs="Times New Roman"/>
          <w:i/>
        </w:rPr>
        <w:t xml:space="preserve">Revista de Economia Política. </w:t>
      </w:r>
      <w:r w:rsidRPr="001843DB">
        <w:rPr>
          <w:rFonts w:cs="Times New Roman"/>
        </w:rPr>
        <w:t>Volume 35. N. 3. (</w:t>
      </w:r>
      <w:r>
        <w:rPr>
          <w:rFonts w:cs="Times New Roman"/>
        </w:rPr>
        <w:t xml:space="preserve">140). </w:t>
      </w:r>
      <w:proofErr w:type="spellStart"/>
      <w:r>
        <w:rPr>
          <w:rFonts w:cs="Times New Roman"/>
        </w:rPr>
        <w:t>Jul.</w:t>
      </w:r>
      <w:proofErr w:type="gramStart"/>
      <w:r>
        <w:rPr>
          <w:rFonts w:cs="Times New Roman"/>
        </w:rPr>
        <w:t>Set</w:t>
      </w:r>
      <w:proofErr w:type="spellEnd"/>
      <w:r>
        <w:rPr>
          <w:rFonts w:cs="Times New Roman"/>
        </w:rPr>
        <w:t>.</w:t>
      </w:r>
      <w:proofErr w:type="gramEnd"/>
      <w:r w:rsidRPr="001843DB">
        <w:rPr>
          <w:rFonts w:cs="Times New Roman"/>
        </w:rPr>
        <w:t xml:space="preserve"> </w:t>
      </w:r>
    </w:p>
    <w:p w14:paraId="339D7B98" w14:textId="77777777" w:rsidR="00224AC9" w:rsidRPr="00224AC9" w:rsidRDefault="00224AC9" w:rsidP="003145DE">
      <w:pPr>
        <w:spacing w:before="120" w:after="0" w:line="240" w:lineRule="auto"/>
        <w:ind w:left="510" w:hanging="510"/>
        <w:rPr>
          <w:rFonts w:cs="Times New Roman"/>
        </w:rPr>
      </w:pPr>
      <w:r>
        <w:rPr>
          <w:rFonts w:cs="Times New Roman"/>
        </w:rPr>
        <w:t xml:space="preserve">ALMEIDA, M. P. (2013) “A Trajetória de Fernando Collor rumo à Presidência: Estratégias Eleitorais Televisivas”. </w:t>
      </w:r>
      <w:r w:rsidRPr="00224AC9">
        <w:rPr>
          <w:rFonts w:cs="Times New Roman"/>
          <w:i/>
        </w:rPr>
        <w:t>Anais do XXVII Simpósio Nacional de História da ANPUH</w:t>
      </w:r>
      <w:r>
        <w:rPr>
          <w:rFonts w:cs="Times New Roman"/>
        </w:rPr>
        <w:t xml:space="preserve">, Natal, </w:t>
      </w:r>
      <w:proofErr w:type="gramStart"/>
      <w:r>
        <w:rPr>
          <w:rFonts w:cs="Times New Roman"/>
        </w:rPr>
        <w:t>Jul.</w:t>
      </w:r>
      <w:proofErr w:type="gramEnd"/>
    </w:p>
    <w:p w14:paraId="3B9B433F" w14:textId="77777777" w:rsidR="00C60757" w:rsidRPr="001D2A21" w:rsidRDefault="00C60757" w:rsidP="003145DE">
      <w:pPr>
        <w:spacing w:before="120" w:after="0" w:line="240" w:lineRule="auto"/>
        <w:ind w:left="510" w:hanging="510"/>
        <w:rPr>
          <w:rFonts w:cs="Times New Roman"/>
        </w:rPr>
      </w:pPr>
      <w:r>
        <w:rPr>
          <w:rFonts w:cs="Times New Roman"/>
        </w:rPr>
        <w:t xml:space="preserve">ARAÚJO, J.T. (2015) “O Enigma da Política Industrial no Brasil”. </w:t>
      </w:r>
      <w:r>
        <w:rPr>
          <w:rFonts w:cs="Times New Roman"/>
          <w:i/>
        </w:rPr>
        <w:t xml:space="preserve">Revista de Economia Política. </w:t>
      </w:r>
      <w:r w:rsidRPr="001843DB">
        <w:rPr>
          <w:rFonts w:cs="Times New Roman"/>
        </w:rPr>
        <w:t>Volume 35. N. 3. (</w:t>
      </w:r>
      <w:r>
        <w:rPr>
          <w:rFonts w:cs="Times New Roman"/>
        </w:rPr>
        <w:t xml:space="preserve">140). </w:t>
      </w:r>
      <w:proofErr w:type="spellStart"/>
      <w:r>
        <w:rPr>
          <w:rFonts w:cs="Times New Roman"/>
        </w:rPr>
        <w:t>Jul.</w:t>
      </w:r>
      <w:proofErr w:type="gramStart"/>
      <w:r>
        <w:rPr>
          <w:rFonts w:cs="Times New Roman"/>
        </w:rPr>
        <w:t>Set</w:t>
      </w:r>
      <w:proofErr w:type="spellEnd"/>
      <w:r>
        <w:rPr>
          <w:rFonts w:cs="Times New Roman"/>
        </w:rPr>
        <w:t>.</w:t>
      </w:r>
      <w:proofErr w:type="gramEnd"/>
      <w:r w:rsidRPr="001843DB">
        <w:rPr>
          <w:rFonts w:cs="Times New Roman"/>
        </w:rPr>
        <w:t xml:space="preserve"> </w:t>
      </w:r>
    </w:p>
    <w:p w14:paraId="4E6F973C" w14:textId="77777777" w:rsidR="00C60757" w:rsidRDefault="00C60757" w:rsidP="003145DE">
      <w:pPr>
        <w:spacing w:before="120" w:after="0" w:line="240" w:lineRule="auto"/>
        <w:ind w:left="510" w:hanging="510"/>
        <w:rPr>
          <w:rFonts w:cs="Times New Roman"/>
        </w:rPr>
      </w:pPr>
      <w:r>
        <w:rPr>
          <w:rFonts w:cs="Times New Roman"/>
        </w:rPr>
        <w:t xml:space="preserve">BARBOSA F., N.H.  (2015) “O Desafio Macroeconômico de 2015-2018”. </w:t>
      </w:r>
      <w:r>
        <w:rPr>
          <w:rFonts w:cs="Times New Roman"/>
          <w:i/>
        </w:rPr>
        <w:t xml:space="preserve">Revista de Economia Política. </w:t>
      </w:r>
      <w:r w:rsidRPr="001843DB">
        <w:rPr>
          <w:rFonts w:cs="Times New Roman"/>
        </w:rPr>
        <w:t>Volume 35. N. 3. (</w:t>
      </w:r>
      <w:r>
        <w:rPr>
          <w:rFonts w:cs="Times New Roman"/>
        </w:rPr>
        <w:t xml:space="preserve">140). </w:t>
      </w:r>
      <w:proofErr w:type="spellStart"/>
      <w:r>
        <w:rPr>
          <w:rFonts w:cs="Times New Roman"/>
        </w:rPr>
        <w:t>Jul.</w:t>
      </w:r>
      <w:proofErr w:type="gramStart"/>
      <w:r>
        <w:rPr>
          <w:rFonts w:cs="Times New Roman"/>
        </w:rPr>
        <w:t>Set</w:t>
      </w:r>
      <w:proofErr w:type="spellEnd"/>
      <w:r>
        <w:rPr>
          <w:rFonts w:cs="Times New Roman"/>
        </w:rPr>
        <w:t>.</w:t>
      </w:r>
      <w:proofErr w:type="gramEnd"/>
      <w:r w:rsidRPr="001843DB">
        <w:rPr>
          <w:rFonts w:cs="Times New Roman"/>
        </w:rPr>
        <w:t xml:space="preserve"> </w:t>
      </w:r>
    </w:p>
    <w:p w14:paraId="2A09C059" w14:textId="77777777" w:rsidR="00225107" w:rsidRDefault="008A104A" w:rsidP="003145DE">
      <w:pPr>
        <w:spacing w:before="120" w:after="0" w:line="240" w:lineRule="auto"/>
        <w:ind w:left="510" w:hanging="510"/>
        <w:rPr>
          <w:rFonts w:cs="Times New Roman"/>
        </w:rPr>
      </w:pPr>
      <w:r>
        <w:rPr>
          <w:rFonts w:cs="Times New Roman"/>
        </w:rPr>
        <w:t xml:space="preserve">BARRIONUEVO F., A. (2015) “A Formação distorcida dos preços administrados na experiência brasileira recente”. </w:t>
      </w:r>
      <w:r>
        <w:rPr>
          <w:rFonts w:cs="Times New Roman"/>
          <w:i/>
        </w:rPr>
        <w:t xml:space="preserve">Revista de Economia Política. </w:t>
      </w:r>
      <w:r w:rsidRPr="001843DB">
        <w:rPr>
          <w:rFonts w:cs="Times New Roman"/>
        </w:rPr>
        <w:t>Volume 35. N. 3. (</w:t>
      </w:r>
      <w:r>
        <w:rPr>
          <w:rFonts w:cs="Times New Roman"/>
        </w:rPr>
        <w:t xml:space="preserve">140). </w:t>
      </w:r>
      <w:proofErr w:type="spellStart"/>
      <w:r>
        <w:rPr>
          <w:rFonts w:cs="Times New Roman"/>
        </w:rPr>
        <w:t>Jul.</w:t>
      </w:r>
      <w:proofErr w:type="gramStart"/>
      <w:r>
        <w:rPr>
          <w:rFonts w:cs="Times New Roman"/>
        </w:rPr>
        <w:t>Set</w:t>
      </w:r>
      <w:proofErr w:type="spellEnd"/>
      <w:r>
        <w:rPr>
          <w:rFonts w:cs="Times New Roman"/>
        </w:rPr>
        <w:t>.</w:t>
      </w:r>
      <w:proofErr w:type="gramEnd"/>
    </w:p>
    <w:p w14:paraId="5324F138" w14:textId="77777777" w:rsidR="00A66913" w:rsidRDefault="00A66913" w:rsidP="003145DE">
      <w:pPr>
        <w:spacing w:before="120" w:after="0" w:line="240" w:lineRule="auto"/>
        <w:ind w:left="510" w:hanging="510"/>
        <w:rPr>
          <w:rFonts w:cs="Times New Roman"/>
        </w:rPr>
      </w:pPr>
      <w:r>
        <w:rPr>
          <w:rFonts w:cs="Times New Roman"/>
        </w:rPr>
        <w:t>BASTOS, P.P.Z. (2012) “A economia política do novo-desenvolvimentismo e do social desenvolvimentismo”. In:</w:t>
      </w:r>
      <w:r w:rsidRPr="00C01088">
        <w:rPr>
          <w:rFonts w:cs="Times New Roman"/>
          <w:i/>
        </w:rPr>
        <w:t xml:space="preserve"> Economia e Sociedade</w:t>
      </w:r>
      <w:r>
        <w:rPr>
          <w:rFonts w:cs="Times New Roman"/>
        </w:rPr>
        <w:t xml:space="preserve">. Campinas. V. 21 Num Esp. </w:t>
      </w:r>
      <w:proofErr w:type="gramStart"/>
      <w:r>
        <w:rPr>
          <w:rFonts w:cs="Times New Roman"/>
        </w:rPr>
        <w:t>Dez.</w:t>
      </w:r>
      <w:proofErr w:type="gramEnd"/>
    </w:p>
    <w:p w14:paraId="4B46D7D8" w14:textId="77777777" w:rsidR="00246B2E" w:rsidRPr="003847F7" w:rsidRDefault="00246B2E" w:rsidP="003145DE">
      <w:pPr>
        <w:spacing w:before="120" w:after="0" w:line="240" w:lineRule="auto"/>
        <w:ind w:left="510" w:hanging="510"/>
        <w:rPr>
          <w:rFonts w:cs="Times New Roman"/>
          <w:lang w:val="en-US"/>
        </w:rPr>
      </w:pPr>
      <w:r w:rsidRPr="002372E2">
        <w:t xml:space="preserve">BRESSER-PEREIRA (2015) “Brazil’s 35 years-old quasi-stagnation: facts and theory”. In: VERMENGO, M. e PEREZ, E. (Eds.) </w:t>
      </w:r>
      <w:r w:rsidRPr="003847F7">
        <w:rPr>
          <w:rFonts w:cs="Times New Roman"/>
          <w:i/>
          <w:lang w:val="en-US"/>
        </w:rPr>
        <w:t xml:space="preserve">Development Strategies in the 21st Century. </w:t>
      </w:r>
      <w:r w:rsidRPr="003847F7">
        <w:rPr>
          <w:rFonts w:cs="Times New Roman"/>
          <w:lang w:val="en-US"/>
        </w:rPr>
        <w:t xml:space="preserve">University of California Press. Advance online publication available in: </w:t>
      </w:r>
      <w:r w:rsidR="001B1BAB">
        <w:fldChar w:fldCharType="begin"/>
      </w:r>
      <w:r w:rsidR="001B1BAB" w:rsidRPr="002372E2">
        <w:rPr>
          <w:lang w:val="en-US"/>
        </w:rPr>
        <w:instrText xml:space="preserve"> HYPERLINK "http:/</w:instrText>
      </w:r>
      <w:r w:rsidR="001B1BAB" w:rsidRPr="002372E2">
        <w:rPr>
          <w:lang w:val="en-US"/>
        </w:rPr>
        <w:instrText xml:space="preserve">/www.bresserpereira.org.br/view.asp?cod=6098" </w:instrText>
      </w:r>
      <w:r w:rsidR="001B1BAB">
        <w:fldChar w:fldCharType="separate"/>
      </w:r>
      <w:r w:rsidRPr="003847F7">
        <w:rPr>
          <w:rStyle w:val="Hyperlink"/>
          <w:rFonts w:cs="Times New Roman"/>
          <w:lang w:val="en-US"/>
        </w:rPr>
        <w:t>http://www.bresserpereira.org.br/view.asp?cod=6098</w:t>
      </w:r>
      <w:r w:rsidR="001B1BAB">
        <w:rPr>
          <w:rStyle w:val="Hyperlink"/>
          <w:rFonts w:cs="Times New Roman"/>
          <w:lang w:val="en-US"/>
        </w:rPr>
        <w:fldChar w:fldCharType="end"/>
      </w:r>
      <w:r w:rsidRPr="003847F7">
        <w:rPr>
          <w:rFonts w:cs="Times New Roman"/>
          <w:lang w:val="en-US"/>
        </w:rPr>
        <w:t xml:space="preserve"> </w:t>
      </w:r>
    </w:p>
    <w:p w14:paraId="77D365E3" w14:textId="77777777" w:rsidR="003A7679" w:rsidRDefault="003A7679" w:rsidP="003145DE">
      <w:pPr>
        <w:spacing w:before="120" w:after="0" w:line="240" w:lineRule="auto"/>
        <w:ind w:left="510" w:hanging="510"/>
        <w:rPr>
          <w:rFonts w:cs="Times New Roman"/>
        </w:rPr>
      </w:pPr>
      <w:r>
        <w:rPr>
          <w:rFonts w:cs="Times New Roman"/>
        </w:rPr>
        <w:t xml:space="preserve">CASTRO, L. B. (2005) “Esperança, Frustração e Aprendizado: a História da Nova República (1985-1989)”. In: GIAMBIAGI, F. e VILLELA, A. </w:t>
      </w:r>
      <w:r>
        <w:rPr>
          <w:rFonts w:cs="Times New Roman"/>
          <w:i/>
        </w:rPr>
        <w:t xml:space="preserve">Economia Brasileira Contemporânea. </w:t>
      </w:r>
      <w:r>
        <w:rPr>
          <w:rFonts w:cs="Times New Roman"/>
        </w:rPr>
        <w:t xml:space="preserve">Rio de Janeiro: </w:t>
      </w:r>
      <w:proofErr w:type="spellStart"/>
      <w:r>
        <w:rPr>
          <w:rFonts w:cs="Times New Roman"/>
        </w:rPr>
        <w:t>Elsevier</w:t>
      </w:r>
      <w:proofErr w:type="spellEnd"/>
      <w:r>
        <w:rPr>
          <w:rFonts w:cs="Times New Roman"/>
        </w:rPr>
        <w:t>.</w:t>
      </w:r>
    </w:p>
    <w:p w14:paraId="03F8AF4D" w14:textId="77777777" w:rsidR="00B37598" w:rsidRDefault="00B37598" w:rsidP="003145DE">
      <w:pPr>
        <w:spacing w:before="120" w:after="0" w:line="240" w:lineRule="auto"/>
        <w:ind w:left="510" w:hanging="510"/>
        <w:rPr>
          <w:rFonts w:cs="Times New Roman"/>
        </w:rPr>
      </w:pPr>
      <w:r>
        <w:rPr>
          <w:rFonts w:cs="Times New Roman"/>
        </w:rPr>
        <w:t xml:space="preserve">HOFFMANN, R. (2001) “Distribuição de Renda e Crescimento Econômico”. In: </w:t>
      </w:r>
      <w:r>
        <w:rPr>
          <w:rFonts w:cs="Times New Roman"/>
          <w:i/>
        </w:rPr>
        <w:t xml:space="preserve">Estudos Avançados. </w:t>
      </w:r>
      <w:r>
        <w:rPr>
          <w:rFonts w:cs="Times New Roman"/>
        </w:rPr>
        <w:t>Vol. 15. N. 41. São. Paulo. Jan/</w:t>
      </w:r>
      <w:proofErr w:type="gramStart"/>
      <w:r>
        <w:rPr>
          <w:rFonts w:cs="Times New Roman"/>
        </w:rPr>
        <w:t>Abr.</w:t>
      </w:r>
      <w:proofErr w:type="gramEnd"/>
      <w:r>
        <w:rPr>
          <w:rFonts w:cs="Times New Roman"/>
        </w:rPr>
        <w:t xml:space="preserve"> </w:t>
      </w:r>
      <w:proofErr w:type="spellStart"/>
      <w:r>
        <w:rPr>
          <w:rFonts w:cs="Times New Roman"/>
        </w:rPr>
        <w:t>On-lineVersion</w:t>
      </w:r>
      <w:proofErr w:type="spellEnd"/>
      <w:r>
        <w:rPr>
          <w:rFonts w:cs="Times New Roman"/>
        </w:rPr>
        <w:t xml:space="preserve">. </w:t>
      </w:r>
      <w:proofErr w:type="spellStart"/>
      <w:r>
        <w:rPr>
          <w:rFonts w:cs="Times New Roman"/>
        </w:rPr>
        <w:t>Disp</w:t>
      </w:r>
      <w:proofErr w:type="spellEnd"/>
      <w:r>
        <w:rPr>
          <w:rFonts w:cs="Times New Roman"/>
        </w:rPr>
        <w:t xml:space="preserve">: </w:t>
      </w:r>
      <w:hyperlink r:id="rId16" w:history="1">
        <w:r w:rsidR="003175DE" w:rsidRPr="00BA493A">
          <w:rPr>
            <w:rStyle w:val="Hyperlink"/>
            <w:rFonts w:cs="Times New Roman"/>
          </w:rPr>
          <w:t>http://www.scielo.br/scielo.php?pid=S0103-40142001000100007&amp;script=sci_arttext</w:t>
        </w:r>
      </w:hyperlink>
      <w:r w:rsidR="003175DE">
        <w:rPr>
          <w:rFonts w:cs="Times New Roman"/>
        </w:rPr>
        <w:t xml:space="preserve"> </w:t>
      </w:r>
    </w:p>
    <w:p w14:paraId="0EDB61E6" w14:textId="118A8727" w:rsidR="00CF1E59" w:rsidRPr="003A7679" w:rsidRDefault="00CF1E59" w:rsidP="003145DE">
      <w:pPr>
        <w:spacing w:before="120" w:after="0" w:line="240" w:lineRule="auto"/>
        <w:ind w:left="510" w:hanging="510"/>
        <w:rPr>
          <w:rFonts w:cs="Times New Roman"/>
        </w:rPr>
      </w:pPr>
      <w:r>
        <w:rPr>
          <w:rFonts w:cs="Times New Roman"/>
        </w:rPr>
        <w:t xml:space="preserve">HOFFMANN, R. (2014) Polarização da Distribuição da Renda no Brasil: 1995 – 2013. Piracicaba: ESALQ (Texto para Discussão). Disponível em: </w:t>
      </w:r>
      <w:r w:rsidRPr="000A4BBE">
        <w:rPr>
          <w:rFonts w:cs="Times New Roman"/>
        </w:rPr>
        <w:t>http://www.academia.edu/20516938/POLAR6</w:t>
      </w:r>
    </w:p>
    <w:p w14:paraId="7669DDEF" w14:textId="77777777" w:rsidR="00246E28" w:rsidRDefault="00246E28" w:rsidP="003145DE">
      <w:pPr>
        <w:spacing w:before="120" w:after="0" w:line="240" w:lineRule="auto"/>
        <w:ind w:left="510" w:hanging="510"/>
        <w:rPr>
          <w:rFonts w:cs="Times New Roman"/>
        </w:rPr>
      </w:pPr>
      <w:r>
        <w:rPr>
          <w:rFonts w:cs="Times New Roman"/>
        </w:rPr>
        <w:t xml:space="preserve">LACERDA, A. C. (1994) “Distribuição de Renda no Brasil nos Anos 80”. </w:t>
      </w:r>
      <w:r>
        <w:rPr>
          <w:rFonts w:cs="Times New Roman"/>
          <w:i/>
        </w:rPr>
        <w:t xml:space="preserve">Revista de Economia Política. </w:t>
      </w:r>
      <w:r>
        <w:rPr>
          <w:rFonts w:cs="Times New Roman"/>
        </w:rPr>
        <w:t xml:space="preserve">Vol. 14. N. 3. (55)) </w:t>
      </w:r>
      <w:proofErr w:type="gramStart"/>
      <w:r>
        <w:rPr>
          <w:rFonts w:cs="Times New Roman"/>
        </w:rPr>
        <w:t>Jul.</w:t>
      </w:r>
      <w:proofErr w:type="gramEnd"/>
      <w:r>
        <w:rPr>
          <w:rFonts w:cs="Times New Roman"/>
        </w:rPr>
        <w:t xml:space="preserve"> Set.</w:t>
      </w:r>
    </w:p>
    <w:p w14:paraId="5674062B" w14:textId="77777777" w:rsidR="00CF3E68" w:rsidRPr="00F86083" w:rsidRDefault="00CF3E68" w:rsidP="003145DE">
      <w:pPr>
        <w:spacing w:before="120" w:after="0" w:line="240" w:lineRule="auto"/>
        <w:ind w:left="510" w:hanging="510"/>
        <w:rPr>
          <w:rFonts w:cs="Times New Roman"/>
        </w:rPr>
      </w:pPr>
      <w:r>
        <w:rPr>
          <w:rFonts w:cs="Times New Roman"/>
        </w:rPr>
        <w:t xml:space="preserve">LARA, F. M. (2015) </w:t>
      </w:r>
      <w:r w:rsidR="00F86083">
        <w:rPr>
          <w:rFonts w:cs="Times New Roman"/>
        </w:rPr>
        <w:t xml:space="preserve">“As contribuições para a desaceleração do crescimento na economia brasileira no período 2011-2014”. In: </w:t>
      </w:r>
      <w:r w:rsidR="00F86083">
        <w:rPr>
          <w:rFonts w:cs="Times New Roman"/>
          <w:i/>
        </w:rPr>
        <w:t xml:space="preserve">Indicadores Econômicos. </w:t>
      </w:r>
      <w:r w:rsidR="00F86083">
        <w:rPr>
          <w:rFonts w:cs="Times New Roman"/>
        </w:rPr>
        <w:t xml:space="preserve">N. 2. </w:t>
      </w:r>
    </w:p>
    <w:p w14:paraId="3C1D92A3" w14:textId="77777777" w:rsidR="00A83FA1" w:rsidRDefault="00A83FA1" w:rsidP="003145DE">
      <w:pPr>
        <w:spacing w:before="120" w:after="0" w:line="240" w:lineRule="auto"/>
        <w:ind w:left="510" w:hanging="510"/>
        <w:rPr>
          <w:rFonts w:cs="Times New Roman"/>
        </w:rPr>
      </w:pPr>
      <w:r w:rsidRPr="003847F7">
        <w:rPr>
          <w:rFonts w:cs="Times New Roman"/>
        </w:rPr>
        <w:t xml:space="preserve">MEDEIROS, Carlos Aguiar de (2015) </w:t>
      </w:r>
      <w:r w:rsidRPr="003847F7">
        <w:rPr>
          <w:rFonts w:cs="Times New Roman"/>
          <w:i/>
        </w:rPr>
        <w:t xml:space="preserve">Inserção externa, crescimento e padrões de consumo na economia brasileira. </w:t>
      </w:r>
      <w:r w:rsidRPr="003847F7">
        <w:rPr>
          <w:rFonts w:cs="Times New Roman"/>
        </w:rPr>
        <w:t xml:space="preserve">Brasília. IPEA. Disponível em </w:t>
      </w:r>
      <w:hyperlink r:id="rId17" w:history="1">
        <w:r w:rsidRPr="003847F7">
          <w:rPr>
            <w:rStyle w:val="Hyperlink"/>
            <w:rFonts w:cs="Times New Roman"/>
          </w:rPr>
          <w:t>http://www.ipea.gov.br/agencia/images/stories/PDFs/livros/livros/20150415_livro_insercao-externa.pdf</w:t>
        </w:r>
      </w:hyperlink>
    </w:p>
    <w:p w14:paraId="558F4A16" w14:textId="77777777" w:rsidR="008D221A" w:rsidRDefault="008D221A" w:rsidP="003145DE">
      <w:pPr>
        <w:spacing w:before="120" w:after="0" w:line="240" w:lineRule="auto"/>
        <w:ind w:left="510" w:hanging="510"/>
        <w:rPr>
          <w:rFonts w:cs="Times New Roman"/>
        </w:rPr>
      </w:pPr>
      <w:r>
        <w:rPr>
          <w:rFonts w:cs="Times New Roman"/>
        </w:rPr>
        <w:t xml:space="preserve">MENDES, A. M T. e VENTURI, G. (1994). “Eleição Presidencial: o Plano Real na sucessão de Itamar Franco”. </w:t>
      </w:r>
      <w:r>
        <w:rPr>
          <w:rFonts w:cs="Times New Roman"/>
          <w:i/>
        </w:rPr>
        <w:t xml:space="preserve">Opinião Pública. </w:t>
      </w:r>
      <w:r w:rsidR="00502326">
        <w:rPr>
          <w:rFonts w:cs="Times New Roman"/>
        </w:rPr>
        <w:t xml:space="preserve">Vol. 2. N. 2. Campinas. Dez. </w:t>
      </w:r>
    </w:p>
    <w:p w14:paraId="0B3287E7" w14:textId="210F5791" w:rsidR="0022172B" w:rsidRDefault="0022172B" w:rsidP="003145DE">
      <w:pPr>
        <w:spacing w:before="120" w:after="0" w:line="240" w:lineRule="auto"/>
        <w:ind w:left="510" w:hanging="510"/>
        <w:rPr>
          <w:rFonts w:cs="Times New Roman"/>
        </w:rPr>
      </w:pPr>
      <w:r w:rsidRPr="00B45367">
        <w:rPr>
          <w:rFonts w:cs="Times New Roman"/>
        </w:rPr>
        <w:lastRenderedPageBreak/>
        <w:t xml:space="preserve">PAIVA, C. A. (2004).  Lendo o Real com um olho em Keynes e outro em </w:t>
      </w:r>
      <w:proofErr w:type="spellStart"/>
      <w:r w:rsidRPr="00B45367">
        <w:rPr>
          <w:rFonts w:cs="Times New Roman"/>
        </w:rPr>
        <w:t>Kalecki</w:t>
      </w:r>
      <w:proofErr w:type="spellEnd"/>
      <w:r w:rsidRPr="00B45367">
        <w:rPr>
          <w:rFonts w:cs="Times New Roman"/>
        </w:rPr>
        <w:t xml:space="preserve">. </w:t>
      </w:r>
      <w:r w:rsidRPr="00B45367">
        <w:rPr>
          <w:rFonts w:cs="Times New Roman"/>
          <w:i/>
        </w:rPr>
        <w:t>Indicadores Econômicos FEE.</w:t>
      </w:r>
      <w:r w:rsidRPr="00B45367">
        <w:rPr>
          <w:rFonts w:cs="Times New Roman"/>
        </w:rPr>
        <w:t xml:space="preserve"> V. 16, n. 2. Porto Alegre: FEE. </w:t>
      </w:r>
      <w:proofErr w:type="spellStart"/>
      <w:r w:rsidRPr="00B45367">
        <w:rPr>
          <w:rFonts w:cs="Times New Roman"/>
        </w:rPr>
        <w:t>Disp</w:t>
      </w:r>
      <w:proofErr w:type="spellEnd"/>
      <w:r w:rsidRPr="00B45367">
        <w:rPr>
          <w:rFonts w:cs="Times New Roman"/>
        </w:rPr>
        <w:t xml:space="preserve">. em </w:t>
      </w:r>
      <w:hyperlink r:id="rId18" w:history="1">
        <w:r w:rsidRPr="00B45367">
          <w:rPr>
            <w:rStyle w:val="Hyperlink"/>
            <w:rFonts w:cs="Times New Roman"/>
          </w:rPr>
          <w:t>http://revistas.fee.tche.br/index.php/indicadores/article/view/257</w:t>
        </w:r>
      </w:hyperlink>
      <w:r w:rsidRPr="00B45367">
        <w:rPr>
          <w:rFonts w:cs="Times New Roman"/>
        </w:rPr>
        <w:t xml:space="preserve"> </w:t>
      </w:r>
    </w:p>
    <w:p w14:paraId="751A03C8" w14:textId="77777777" w:rsidR="008A32E2" w:rsidRDefault="008A32E2" w:rsidP="003145DE">
      <w:pPr>
        <w:spacing w:before="120" w:after="0" w:line="240" w:lineRule="auto"/>
        <w:ind w:left="510" w:hanging="510"/>
        <w:rPr>
          <w:rFonts w:cs="Times New Roman"/>
        </w:rPr>
      </w:pPr>
      <w:r w:rsidRPr="00197496">
        <w:rPr>
          <w:rFonts w:cs="Times New Roman"/>
        </w:rPr>
        <w:t>SILVA, L</w:t>
      </w:r>
      <w:r>
        <w:rPr>
          <w:rFonts w:cs="Times New Roman"/>
        </w:rPr>
        <w:t xml:space="preserve">. I. L </w:t>
      </w:r>
      <w:r w:rsidRPr="00B45367">
        <w:rPr>
          <w:rFonts w:cs="Times New Roman"/>
        </w:rPr>
        <w:t>(2002</w:t>
      </w:r>
      <w:proofErr w:type="gramStart"/>
      <w:r w:rsidRPr="00B45367">
        <w:rPr>
          <w:rFonts w:cs="Times New Roman"/>
        </w:rPr>
        <w:t>)  “</w:t>
      </w:r>
      <w:proofErr w:type="gramEnd"/>
      <w:r w:rsidRPr="00B45367">
        <w:rPr>
          <w:rFonts w:cs="Times New Roman"/>
        </w:rPr>
        <w:t xml:space="preserve">Carta ao Povo Brasileiro”. São Paulo: Fundação Perseu </w:t>
      </w:r>
      <w:proofErr w:type="spellStart"/>
      <w:r w:rsidRPr="00B45367">
        <w:rPr>
          <w:rFonts w:cs="Times New Roman"/>
        </w:rPr>
        <w:t>Abram</w:t>
      </w:r>
      <w:r>
        <w:rPr>
          <w:rFonts w:cs="Times New Roman"/>
        </w:rPr>
        <w:t>o</w:t>
      </w:r>
      <w:proofErr w:type="spellEnd"/>
      <w:r>
        <w:rPr>
          <w:rFonts w:cs="Times New Roman"/>
        </w:rPr>
        <w:t xml:space="preserve"> (</w:t>
      </w:r>
      <w:proofErr w:type="spellStart"/>
      <w:r>
        <w:rPr>
          <w:rFonts w:cs="Times New Roman"/>
        </w:rPr>
        <w:t>Disp</w:t>
      </w:r>
      <w:proofErr w:type="spellEnd"/>
      <w:r>
        <w:rPr>
          <w:rFonts w:cs="Times New Roman"/>
        </w:rPr>
        <w:t>.</w:t>
      </w:r>
      <w:r w:rsidRPr="00B45367">
        <w:rPr>
          <w:rFonts w:cs="Times New Roman"/>
        </w:rPr>
        <w:t xml:space="preserve"> </w:t>
      </w:r>
      <w:hyperlink r:id="rId19" w:history="1">
        <w:r w:rsidRPr="00B45367">
          <w:rPr>
            <w:rStyle w:val="Hyperlink"/>
            <w:rFonts w:cs="Times New Roman"/>
          </w:rPr>
          <w:t>http://www.fpabramo.org.br/uploads/cartaaopovobrasileiro.pdf</w:t>
        </w:r>
      </w:hyperlink>
      <w:r w:rsidRPr="00B45367">
        <w:rPr>
          <w:rFonts w:cs="Times New Roman"/>
        </w:rPr>
        <w:t xml:space="preserve">) </w:t>
      </w:r>
    </w:p>
    <w:p w14:paraId="02100F0A" w14:textId="77777777" w:rsidR="00C60757" w:rsidRPr="00ED5EC2" w:rsidRDefault="003175DE" w:rsidP="003145DE">
      <w:pPr>
        <w:spacing w:before="120" w:after="0" w:line="240" w:lineRule="auto"/>
        <w:ind w:left="510" w:hanging="510"/>
        <w:rPr>
          <w:rFonts w:cs="Times New Roman"/>
        </w:rPr>
      </w:pPr>
      <w:r>
        <w:rPr>
          <w:rFonts w:cs="Times New Roman"/>
        </w:rPr>
        <w:t xml:space="preserve">SINGER, A. (2015) “Cutucando onças com varas curtas: o ensaio desenvolvimentista no primeiro mandato de Dilma Rousseff (2011-2014). In: </w:t>
      </w:r>
      <w:r>
        <w:rPr>
          <w:rFonts w:cs="Times New Roman"/>
          <w:i/>
        </w:rPr>
        <w:t xml:space="preserve">Novos Estudos. </w:t>
      </w:r>
      <w:r>
        <w:rPr>
          <w:rFonts w:cs="Times New Roman"/>
        </w:rPr>
        <w:t>N. 102. Julho.</w:t>
      </w:r>
    </w:p>
    <w:sectPr w:rsidR="00C60757" w:rsidRPr="00ED5EC2" w:rsidSect="00310B39">
      <w:headerReference w:type="default" r:id="rId20"/>
      <w:footerReference w:type="even" r:id="rId21"/>
      <w:footerReference w:type="default" r:id="rId22"/>
      <w:pgSz w:w="11900" w:h="16840" w:code="9"/>
      <w:pgMar w:top="1701"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1343C4" w14:textId="77777777" w:rsidR="001B1BAB" w:rsidRDefault="001B1BAB" w:rsidP="001F0579">
      <w:pPr>
        <w:spacing w:after="0" w:line="240" w:lineRule="auto"/>
      </w:pPr>
      <w:r>
        <w:separator/>
      </w:r>
    </w:p>
  </w:endnote>
  <w:endnote w:type="continuationSeparator" w:id="0">
    <w:p w14:paraId="427DC9AE" w14:textId="77777777" w:rsidR="001B1BAB" w:rsidRDefault="001B1BAB" w:rsidP="001F0579">
      <w:pPr>
        <w:spacing w:after="0" w:line="240" w:lineRule="auto"/>
      </w:pPr>
      <w:r>
        <w:continuationSeparator/>
      </w:r>
    </w:p>
  </w:endnote>
  <w:endnote w:type="continuationNotice" w:id="1">
    <w:p w14:paraId="49EA3E7D" w14:textId="77777777" w:rsidR="001B1BAB" w:rsidRDefault="001B1BA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B6044E" w14:textId="77777777" w:rsidR="005E6A24" w:rsidRDefault="005E6A24" w:rsidP="003B4C3C">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39CFE41A" w14:textId="77777777" w:rsidR="005E6A24" w:rsidRDefault="005E6A24" w:rsidP="003B4C3C">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A56541" w14:textId="77777777" w:rsidR="005E6A24" w:rsidRDefault="005E6A24" w:rsidP="003B4C3C">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6473E">
      <w:rPr>
        <w:rStyle w:val="Nmerodepgina"/>
        <w:noProof/>
      </w:rPr>
      <w:t>28</w:t>
    </w:r>
    <w:r>
      <w:rPr>
        <w:rStyle w:val="Nmerodepgina"/>
      </w:rPr>
      <w:fldChar w:fldCharType="end"/>
    </w:r>
  </w:p>
  <w:p w14:paraId="152A53FF" w14:textId="77777777" w:rsidR="005E6A24" w:rsidRDefault="005E6A24" w:rsidP="003B4C3C">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048FBE" w14:textId="77777777" w:rsidR="001B1BAB" w:rsidRDefault="001B1BAB" w:rsidP="001F0579">
      <w:pPr>
        <w:spacing w:after="0" w:line="240" w:lineRule="auto"/>
      </w:pPr>
      <w:r>
        <w:separator/>
      </w:r>
    </w:p>
  </w:footnote>
  <w:footnote w:type="continuationSeparator" w:id="0">
    <w:p w14:paraId="5B22C7E2" w14:textId="77777777" w:rsidR="001B1BAB" w:rsidRDefault="001B1BAB" w:rsidP="001F0579">
      <w:pPr>
        <w:spacing w:after="0" w:line="240" w:lineRule="auto"/>
      </w:pPr>
      <w:r>
        <w:continuationSeparator/>
      </w:r>
    </w:p>
  </w:footnote>
  <w:footnote w:type="continuationNotice" w:id="1">
    <w:p w14:paraId="2066F3E3" w14:textId="77777777" w:rsidR="001B1BAB" w:rsidRDefault="001B1BAB">
      <w:pPr>
        <w:spacing w:after="0" w:line="240" w:lineRule="auto"/>
      </w:pPr>
    </w:p>
  </w:footnote>
  <w:footnote w:id="2">
    <w:p w14:paraId="6C1F8517" w14:textId="77777777" w:rsidR="005E6A24" w:rsidRPr="00CA6D5B" w:rsidRDefault="005E6A24">
      <w:pPr>
        <w:pStyle w:val="Textodenotaderodap"/>
        <w:rPr>
          <w:sz w:val="20"/>
          <w:szCs w:val="20"/>
        </w:rPr>
      </w:pPr>
      <w:r w:rsidRPr="00CA6D5B">
        <w:rPr>
          <w:rStyle w:val="Refdenotaderodap"/>
          <w:sz w:val="20"/>
          <w:szCs w:val="20"/>
        </w:rPr>
        <w:footnoteRef/>
      </w:r>
      <w:r w:rsidRPr="00CA6D5B">
        <w:rPr>
          <w:sz w:val="20"/>
          <w:szCs w:val="20"/>
        </w:rPr>
        <w:t xml:space="preserve"> Ao longo dos 21 anos do Real (tomando o Plano desde seu início, ainda no Governo Itamar, até o mês de setembro de 2015, no segundo mandato Dilma), a correlação do IPCA (Índice Nacional de Preços ao Consumidor Amplo) com o transcurso do tempo conta com 255 observações e resulta negativa (</w:t>
      </w:r>
      <w:proofErr w:type="spellStart"/>
      <w:r w:rsidRPr="00CA6D5B">
        <w:rPr>
          <w:sz w:val="20"/>
          <w:szCs w:val="20"/>
        </w:rPr>
        <w:t>correl</w:t>
      </w:r>
      <w:proofErr w:type="spellEnd"/>
      <w:r w:rsidRPr="00CA6D5B">
        <w:rPr>
          <w:sz w:val="20"/>
          <w:szCs w:val="20"/>
        </w:rPr>
        <w:t xml:space="preserve"> -0,31) com significância inequívoca (</w:t>
      </w:r>
      <w:proofErr w:type="spellStart"/>
      <w:r w:rsidRPr="00CA6D5B">
        <w:rPr>
          <w:sz w:val="20"/>
          <w:szCs w:val="20"/>
        </w:rPr>
        <w:t>sig</w:t>
      </w:r>
      <w:proofErr w:type="spellEnd"/>
      <w:r w:rsidRPr="00CA6D5B">
        <w:rPr>
          <w:sz w:val="20"/>
          <w:szCs w:val="20"/>
        </w:rPr>
        <w:t>. 0,000).</w:t>
      </w:r>
    </w:p>
  </w:footnote>
  <w:footnote w:id="3">
    <w:p w14:paraId="1041B03B" w14:textId="77777777" w:rsidR="005E6A24" w:rsidRPr="00CA6D5B" w:rsidRDefault="005E6A24" w:rsidP="00F03779">
      <w:pPr>
        <w:pStyle w:val="Textodenotaderodap"/>
        <w:rPr>
          <w:sz w:val="20"/>
          <w:szCs w:val="20"/>
        </w:rPr>
      </w:pPr>
      <w:r w:rsidRPr="00CA6D5B">
        <w:rPr>
          <w:rStyle w:val="Refdenotaderodap"/>
          <w:sz w:val="20"/>
          <w:szCs w:val="20"/>
        </w:rPr>
        <w:footnoteRef/>
      </w:r>
      <w:r w:rsidRPr="00CA6D5B">
        <w:rPr>
          <w:sz w:val="20"/>
          <w:szCs w:val="20"/>
        </w:rPr>
        <w:t xml:space="preserve"> Extraímos, do valor acumulado (no caso, 373,58%) representado na última linha do Quadro 1, a inflação referente ao Governo Itamar (no caso, 18,57%),</w:t>
      </w:r>
      <w:r>
        <w:rPr>
          <w:sz w:val="20"/>
          <w:szCs w:val="20"/>
        </w:rPr>
        <w:t xml:space="preserve"> representada na primeira linha</w:t>
      </w:r>
      <w:r w:rsidRPr="00CA6D5B">
        <w:rPr>
          <w:sz w:val="20"/>
          <w:szCs w:val="20"/>
        </w:rPr>
        <w:t xml:space="preserve">. A mesma sistemática foi adotada para o </w:t>
      </w:r>
      <w:proofErr w:type="spellStart"/>
      <w:r w:rsidRPr="00CA6D5B">
        <w:rPr>
          <w:sz w:val="20"/>
          <w:szCs w:val="20"/>
        </w:rPr>
        <w:t>re-cálculo</w:t>
      </w:r>
      <w:proofErr w:type="spellEnd"/>
      <w:r w:rsidRPr="00CA6D5B">
        <w:rPr>
          <w:sz w:val="20"/>
          <w:szCs w:val="20"/>
        </w:rPr>
        <w:t xml:space="preserve"> dos demais </w:t>
      </w:r>
      <w:proofErr w:type="spellStart"/>
      <w:r w:rsidRPr="00CA6D5B">
        <w:rPr>
          <w:sz w:val="20"/>
          <w:szCs w:val="20"/>
        </w:rPr>
        <w:t>IPCAs</w:t>
      </w:r>
      <w:proofErr w:type="spellEnd"/>
      <w:r w:rsidRPr="00CA6D5B">
        <w:rPr>
          <w:sz w:val="20"/>
          <w:szCs w:val="20"/>
        </w:rPr>
        <w:t xml:space="preserve"> acumulados. </w:t>
      </w:r>
    </w:p>
  </w:footnote>
  <w:footnote w:id="4">
    <w:p w14:paraId="43127810" w14:textId="0B17D22C" w:rsidR="005E6A24" w:rsidRPr="00CA6D5B" w:rsidRDefault="005E6A24" w:rsidP="00F03779">
      <w:pPr>
        <w:pStyle w:val="Textodenotaderodap"/>
        <w:rPr>
          <w:sz w:val="20"/>
          <w:szCs w:val="20"/>
        </w:rPr>
      </w:pPr>
      <w:r w:rsidRPr="00CA6D5B">
        <w:rPr>
          <w:rStyle w:val="Refdenotaderodap"/>
          <w:sz w:val="20"/>
          <w:szCs w:val="20"/>
        </w:rPr>
        <w:footnoteRef/>
      </w:r>
      <w:r w:rsidRPr="00CA6D5B">
        <w:rPr>
          <w:sz w:val="20"/>
          <w:szCs w:val="20"/>
        </w:rPr>
        <w:t xml:space="preserve"> Os bens </w:t>
      </w:r>
      <w:proofErr w:type="spellStart"/>
      <w:r w:rsidRPr="003847F7">
        <w:rPr>
          <w:i/>
          <w:sz w:val="20"/>
          <w:szCs w:val="20"/>
        </w:rPr>
        <w:t>tradables</w:t>
      </w:r>
      <w:proofErr w:type="spellEnd"/>
      <w:r w:rsidRPr="00CA6D5B">
        <w:rPr>
          <w:sz w:val="20"/>
          <w:szCs w:val="20"/>
        </w:rPr>
        <w:t xml:space="preserve"> são os bens passíveis de importação e exportação, são os bens “transportáveis”, oriundos da agropecuária, da indústria extrativa e da indústria de transformação. Os bens e serviços não-</w:t>
      </w:r>
      <w:proofErr w:type="spellStart"/>
      <w:r w:rsidRPr="003847F7">
        <w:rPr>
          <w:i/>
          <w:sz w:val="20"/>
          <w:szCs w:val="20"/>
        </w:rPr>
        <w:t>tradables</w:t>
      </w:r>
      <w:proofErr w:type="spellEnd"/>
      <w:r w:rsidRPr="00CA6D5B">
        <w:rPr>
          <w:sz w:val="20"/>
          <w:szCs w:val="20"/>
        </w:rPr>
        <w:t xml:space="preserve"> são os “não-transportáveis”: construção civil, comércio em geral e a maior parte dos serviços. Os monitorados são aqueles bens e serviços cujos preços encontram-se subordinados a algum padrão de controle governamental, seja por indexação (como é o caso de boa parte dos serviços de utilidade pública privatizados ao longo dos dois mandatos de </w:t>
      </w:r>
      <w:r>
        <w:rPr>
          <w:sz w:val="20"/>
          <w:szCs w:val="20"/>
        </w:rPr>
        <w:t>FHC</w:t>
      </w:r>
      <w:r w:rsidRPr="00CA6D5B">
        <w:rPr>
          <w:sz w:val="20"/>
          <w:szCs w:val="20"/>
        </w:rPr>
        <w:t xml:space="preserve">), seja por sua exploração se encontrar sob controle virtualmente monopolista do governo federal (gasolina e demais derivados de petróleo através da Petrobrás), seja porque os serviços oferecidos são concessões governamentais (transportes urbanos e suas tarifas, por exemplo). </w:t>
      </w:r>
    </w:p>
  </w:footnote>
  <w:footnote w:id="5">
    <w:p w14:paraId="3694D33B" w14:textId="77777777" w:rsidR="005E6A24" w:rsidRPr="00CA6D5B" w:rsidRDefault="005E6A24" w:rsidP="003650A0">
      <w:pPr>
        <w:pStyle w:val="Textodenotaderodap"/>
        <w:rPr>
          <w:sz w:val="20"/>
          <w:szCs w:val="20"/>
        </w:rPr>
      </w:pPr>
      <w:r w:rsidRPr="00CA6D5B">
        <w:rPr>
          <w:rStyle w:val="Refdenotaderodap"/>
          <w:sz w:val="20"/>
          <w:szCs w:val="20"/>
        </w:rPr>
        <w:footnoteRef/>
      </w:r>
      <w:r w:rsidRPr="00CA6D5B">
        <w:rPr>
          <w:sz w:val="20"/>
          <w:szCs w:val="20"/>
        </w:rPr>
        <w:t xml:space="preserve"> As células com fundo azul são aquelas que apresentam o menor valor, seja da inflação do ano, seja da inflação acumulada. As células cujo conteúdo encontra-se negritado são aquelas que apresentam o maior valor, seja anual, seja acumulado. Note-se que isto só é válido para os </w:t>
      </w:r>
      <w:proofErr w:type="spellStart"/>
      <w:r w:rsidRPr="00CA6D5B">
        <w:rPr>
          <w:sz w:val="20"/>
          <w:szCs w:val="20"/>
        </w:rPr>
        <w:t>IPCAs</w:t>
      </w:r>
      <w:proofErr w:type="spellEnd"/>
      <w:r w:rsidRPr="00CA6D5B">
        <w:rPr>
          <w:sz w:val="20"/>
          <w:szCs w:val="20"/>
        </w:rPr>
        <w:t xml:space="preserve"> que podem apresentar extremos – </w:t>
      </w:r>
      <w:proofErr w:type="spellStart"/>
      <w:r w:rsidRPr="00CA6D5B">
        <w:rPr>
          <w:i/>
          <w:sz w:val="20"/>
          <w:szCs w:val="20"/>
        </w:rPr>
        <w:t>Tradable</w:t>
      </w:r>
      <w:proofErr w:type="spellEnd"/>
      <w:r w:rsidRPr="00CA6D5B">
        <w:rPr>
          <w:sz w:val="20"/>
          <w:szCs w:val="20"/>
        </w:rPr>
        <w:t>, Não-</w:t>
      </w:r>
      <w:proofErr w:type="spellStart"/>
      <w:r w:rsidRPr="00CA6D5B">
        <w:rPr>
          <w:i/>
          <w:sz w:val="20"/>
          <w:szCs w:val="20"/>
        </w:rPr>
        <w:t>Tradable</w:t>
      </w:r>
      <w:proofErr w:type="spellEnd"/>
      <w:r w:rsidRPr="00CA6D5B">
        <w:rPr>
          <w:sz w:val="20"/>
          <w:szCs w:val="20"/>
        </w:rPr>
        <w:t xml:space="preserve"> e Monitorado – uma vez que o IPCA total é, ele mesmo, uma média ponderada dos demais. </w:t>
      </w:r>
    </w:p>
  </w:footnote>
  <w:footnote w:id="6">
    <w:p w14:paraId="06785AF9" w14:textId="36D668D6" w:rsidR="005E6A24" w:rsidRPr="00CA6D5B" w:rsidRDefault="005E6A24">
      <w:pPr>
        <w:pStyle w:val="Textodenotaderodap"/>
        <w:rPr>
          <w:sz w:val="20"/>
          <w:szCs w:val="20"/>
        </w:rPr>
      </w:pPr>
      <w:r w:rsidRPr="00CA6D5B">
        <w:rPr>
          <w:rStyle w:val="Refdenotaderodap"/>
          <w:sz w:val="20"/>
          <w:szCs w:val="20"/>
        </w:rPr>
        <w:footnoteRef/>
      </w:r>
      <w:r w:rsidRPr="00CA6D5B">
        <w:rPr>
          <w:sz w:val="20"/>
          <w:szCs w:val="20"/>
        </w:rPr>
        <w:t xml:space="preserve"> O câmbio é controlado pelo Banco Central através da manipulação da taxa de juros. Quando a inflação se eleva, o Bacen eleva os juros. O discurso oficial é de que, com esta elevação, almeja-se frear o consumo</w:t>
      </w:r>
      <w:r>
        <w:rPr>
          <w:sz w:val="20"/>
          <w:szCs w:val="20"/>
        </w:rPr>
        <w:t xml:space="preserve"> e estimular expectativas deflacionistas</w:t>
      </w:r>
      <w:r w:rsidRPr="00CA6D5B">
        <w:rPr>
          <w:sz w:val="20"/>
          <w:szCs w:val="20"/>
        </w:rPr>
        <w:t xml:space="preserve">, obrigando os produtores e comerciantes a baixarem os preços. Mas o processo real é muito distinto. A elevação dos juros internos muito acima do padrão internacional atrai capital especulativo para o país em busca de valorização acelerada. Com o aporte extraordinário de divisas, o real se aprecia frente ao dólar e os importados caem de preço imediatamente, assim como os exportados, cujos preços são cotados em dólar no mercado internacional. </w:t>
      </w:r>
    </w:p>
  </w:footnote>
  <w:footnote w:id="7">
    <w:p w14:paraId="7F9E6DE5" w14:textId="48C4243F" w:rsidR="005E6A24" w:rsidRPr="00CA6D5B" w:rsidRDefault="005E6A24">
      <w:pPr>
        <w:pStyle w:val="Textodenotaderodap"/>
        <w:rPr>
          <w:sz w:val="20"/>
          <w:szCs w:val="20"/>
        </w:rPr>
      </w:pPr>
      <w:r w:rsidRPr="00CA6D5B">
        <w:rPr>
          <w:rStyle w:val="Refdenotaderodap"/>
          <w:sz w:val="20"/>
          <w:szCs w:val="20"/>
        </w:rPr>
        <w:footnoteRef/>
      </w:r>
      <w:r w:rsidRPr="00CA6D5B">
        <w:rPr>
          <w:sz w:val="20"/>
          <w:szCs w:val="20"/>
        </w:rPr>
        <w:t xml:space="preserve"> A história desta autonomização é o tema da segunda seção deste trabalho.</w:t>
      </w:r>
    </w:p>
  </w:footnote>
  <w:footnote w:id="8">
    <w:p w14:paraId="7BEAEC43" w14:textId="77777777" w:rsidR="005E6A24" w:rsidRPr="00CA6D5B" w:rsidRDefault="005E6A24">
      <w:pPr>
        <w:pStyle w:val="Textodenotaderodap"/>
        <w:rPr>
          <w:sz w:val="20"/>
          <w:szCs w:val="20"/>
        </w:rPr>
      </w:pPr>
      <w:r w:rsidRPr="00CA6D5B">
        <w:rPr>
          <w:rStyle w:val="Refdenotaderodap"/>
          <w:sz w:val="20"/>
          <w:szCs w:val="20"/>
        </w:rPr>
        <w:footnoteRef/>
      </w:r>
      <w:r w:rsidRPr="00CA6D5B">
        <w:rPr>
          <w:sz w:val="20"/>
          <w:szCs w:val="20"/>
        </w:rPr>
        <w:t xml:space="preserve"> A este respeito, veja-se </w:t>
      </w:r>
      <w:proofErr w:type="spellStart"/>
      <w:r w:rsidRPr="00CA6D5B">
        <w:rPr>
          <w:sz w:val="20"/>
          <w:szCs w:val="20"/>
        </w:rPr>
        <w:t>Barrionuevo</w:t>
      </w:r>
      <w:proofErr w:type="spellEnd"/>
      <w:r w:rsidRPr="00CA6D5B">
        <w:rPr>
          <w:sz w:val="20"/>
          <w:szCs w:val="20"/>
        </w:rPr>
        <w:t xml:space="preserve"> F. 2015 e Almeida et al 2015</w:t>
      </w:r>
    </w:p>
  </w:footnote>
  <w:footnote w:id="9">
    <w:p w14:paraId="7E76D320" w14:textId="77777777" w:rsidR="005E6A24" w:rsidRPr="00CA6D5B" w:rsidRDefault="005E6A24">
      <w:pPr>
        <w:pStyle w:val="Textodenotaderodap"/>
        <w:rPr>
          <w:sz w:val="20"/>
          <w:szCs w:val="20"/>
        </w:rPr>
      </w:pPr>
      <w:r w:rsidRPr="00CA6D5B">
        <w:rPr>
          <w:rStyle w:val="Refdenotaderodap"/>
          <w:sz w:val="20"/>
          <w:szCs w:val="20"/>
        </w:rPr>
        <w:footnoteRef/>
      </w:r>
      <w:r w:rsidRPr="00CA6D5B">
        <w:rPr>
          <w:sz w:val="20"/>
          <w:szCs w:val="20"/>
        </w:rPr>
        <w:t xml:space="preserve"> A este respeito, veja-se Araújo, J. 2015.</w:t>
      </w:r>
    </w:p>
  </w:footnote>
  <w:footnote w:id="10">
    <w:p w14:paraId="2F8E7E84" w14:textId="77777777" w:rsidR="005E6A24" w:rsidRPr="00CA6D5B" w:rsidRDefault="005E6A24">
      <w:pPr>
        <w:pStyle w:val="Textodenotaderodap"/>
        <w:rPr>
          <w:sz w:val="20"/>
          <w:szCs w:val="20"/>
        </w:rPr>
      </w:pPr>
      <w:r w:rsidRPr="00CA6D5B">
        <w:rPr>
          <w:rStyle w:val="Refdenotaderodap"/>
          <w:sz w:val="20"/>
          <w:szCs w:val="20"/>
        </w:rPr>
        <w:footnoteRef/>
      </w:r>
      <w:r w:rsidRPr="00CA6D5B">
        <w:rPr>
          <w:sz w:val="20"/>
          <w:szCs w:val="20"/>
        </w:rPr>
        <w:t xml:space="preserve"> A influência de Dilma Rousseff na condução da política econômica dos governos petistas tem início já no final do primeiro mandato do Presidente Lula, quando assume a Casa Civil em substituição a José Dirceu. Esta influência se amplia com a saída de Antônio Palocci do Ministério da Fazenda e se consolida no segundo mandato de Lula.</w:t>
      </w:r>
    </w:p>
  </w:footnote>
  <w:footnote w:id="11">
    <w:p w14:paraId="6BDCEEA3" w14:textId="79EE3148" w:rsidR="005E6A24" w:rsidRPr="003145DE" w:rsidRDefault="005E6A24">
      <w:pPr>
        <w:pStyle w:val="Textodenotaderodap"/>
        <w:rPr>
          <w:sz w:val="20"/>
          <w:szCs w:val="20"/>
        </w:rPr>
      </w:pPr>
      <w:r w:rsidRPr="003145DE">
        <w:rPr>
          <w:rStyle w:val="Refdenotaderodap"/>
          <w:sz w:val="20"/>
          <w:szCs w:val="20"/>
        </w:rPr>
        <w:footnoteRef/>
      </w:r>
      <w:r w:rsidRPr="003145DE">
        <w:rPr>
          <w:sz w:val="20"/>
          <w:szCs w:val="20"/>
        </w:rPr>
        <w:t xml:space="preserve"> De acordo com informações da PNAD, entre 2002 e 2005 (inclusive), a taxa de crescimento médio da PEA</w:t>
      </w:r>
      <w:r w:rsidRPr="005E6A24">
        <w:rPr>
          <w:sz w:val="20"/>
          <w:szCs w:val="20"/>
        </w:rPr>
        <w:t xml:space="preserve"> foi de 3,31</w:t>
      </w:r>
      <w:r w:rsidRPr="003145DE">
        <w:rPr>
          <w:sz w:val="20"/>
          <w:szCs w:val="20"/>
        </w:rPr>
        <w:t>% ao ano, similar à</w:t>
      </w:r>
      <w:r w:rsidRPr="00E63281">
        <w:rPr>
          <w:sz w:val="20"/>
          <w:szCs w:val="20"/>
        </w:rPr>
        <w:t xml:space="preserve"> taxa de crescimento da PO (3,33</w:t>
      </w:r>
      <w:proofErr w:type="gramStart"/>
      <w:r w:rsidRPr="003145DE">
        <w:rPr>
          <w:sz w:val="20"/>
          <w:szCs w:val="20"/>
        </w:rPr>
        <w:t>%  a.a.</w:t>
      </w:r>
      <w:proofErr w:type="gramEnd"/>
      <w:r w:rsidRPr="003145DE">
        <w:rPr>
          <w:sz w:val="20"/>
          <w:szCs w:val="20"/>
        </w:rPr>
        <w:t>), mantendo a taxa de desemprego relativamente estabilizada em torno de 9,25% da PEA. A partir de 2006 a taxa de crescimento da PEA sofre significativa desaceleração</w:t>
      </w:r>
      <w:r w:rsidRPr="00FC4718">
        <w:rPr>
          <w:sz w:val="20"/>
          <w:szCs w:val="20"/>
        </w:rPr>
        <w:t>. No período entre 2006 e 2009</w:t>
      </w:r>
      <w:r w:rsidRPr="003145DE">
        <w:rPr>
          <w:sz w:val="20"/>
          <w:szCs w:val="20"/>
        </w:rPr>
        <w:t xml:space="preserve"> a taxa m</w:t>
      </w:r>
      <w:r w:rsidRPr="00BD002D">
        <w:rPr>
          <w:sz w:val="20"/>
          <w:szCs w:val="20"/>
        </w:rPr>
        <w:t>édia será de 1,42</w:t>
      </w:r>
      <w:r w:rsidRPr="003145DE">
        <w:rPr>
          <w:sz w:val="20"/>
          <w:szCs w:val="20"/>
        </w:rPr>
        <w:t>% a.a. Assim, a despeito da queda da taxa de variação</w:t>
      </w:r>
      <w:r w:rsidRPr="00FC4718">
        <w:rPr>
          <w:sz w:val="20"/>
          <w:szCs w:val="20"/>
        </w:rPr>
        <w:t xml:space="preserve"> da PO (média de 1,69</w:t>
      </w:r>
      <w:r w:rsidRPr="003145DE">
        <w:rPr>
          <w:sz w:val="20"/>
          <w:szCs w:val="20"/>
        </w:rPr>
        <w:t>% a.a. no mesmo período), a taxa de desemprego baixar</w:t>
      </w:r>
      <w:r w:rsidRPr="00FC4718">
        <w:rPr>
          <w:sz w:val="20"/>
          <w:szCs w:val="20"/>
        </w:rPr>
        <w:t>á para 7,99</w:t>
      </w:r>
      <w:r w:rsidRPr="003145DE">
        <w:rPr>
          <w:sz w:val="20"/>
          <w:szCs w:val="20"/>
        </w:rPr>
        <w:t>%.</w:t>
      </w:r>
      <w:r w:rsidRPr="00FC4718">
        <w:rPr>
          <w:sz w:val="20"/>
          <w:szCs w:val="20"/>
        </w:rPr>
        <w:t xml:space="preserve"> Mas a grande mudança se dará entre os dois </w:t>
      </w:r>
      <w:r>
        <w:rPr>
          <w:sz w:val="20"/>
          <w:szCs w:val="20"/>
        </w:rPr>
        <w:t xml:space="preserve">últimos anos do segundo mandato de Lula e os dois primeiros de Dilma: a PEA crescerá 0,78% a.a. e a PO 0,72 % a.a. Assim, a taxa de desemprego cairá a 6,94% da PEA no </w:t>
      </w:r>
      <w:r w:rsidR="00891418">
        <w:rPr>
          <w:sz w:val="20"/>
          <w:szCs w:val="20"/>
        </w:rPr>
        <w:t>ano de 2012 a despeito da perda de</w:t>
      </w:r>
      <w:r>
        <w:rPr>
          <w:sz w:val="20"/>
          <w:szCs w:val="20"/>
        </w:rPr>
        <w:t xml:space="preserve"> dinamismo da demanda e mão-de-obra. </w:t>
      </w:r>
    </w:p>
  </w:footnote>
  <w:footnote w:id="12">
    <w:p w14:paraId="32782A6A" w14:textId="38A658BE" w:rsidR="005E6A24" w:rsidRPr="003145DE" w:rsidRDefault="005E6A24">
      <w:pPr>
        <w:pStyle w:val="Textodenotaderodap"/>
        <w:rPr>
          <w:sz w:val="20"/>
          <w:szCs w:val="20"/>
        </w:rPr>
      </w:pPr>
      <w:r w:rsidRPr="003145DE">
        <w:rPr>
          <w:rStyle w:val="Refdenotaderodap"/>
          <w:sz w:val="20"/>
          <w:szCs w:val="20"/>
        </w:rPr>
        <w:footnoteRef/>
      </w:r>
      <w:r w:rsidRPr="003145DE">
        <w:rPr>
          <w:sz w:val="20"/>
          <w:szCs w:val="20"/>
        </w:rPr>
        <w:t xml:space="preserve"> </w:t>
      </w:r>
      <w:r>
        <w:rPr>
          <w:sz w:val="20"/>
          <w:szCs w:val="20"/>
        </w:rPr>
        <w:t xml:space="preserve">Em Hoffman (2014) vemos que queda do Índice de </w:t>
      </w:r>
      <w:proofErr w:type="spellStart"/>
      <w:r>
        <w:rPr>
          <w:sz w:val="20"/>
          <w:szCs w:val="20"/>
        </w:rPr>
        <w:t>Gini</w:t>
      </w:r>
      <w:proofErr w:type="spellEnd"/>
      <w:r>
        <w:rPr>
          <w:sz w:val="20"/>
          <w:szCs w:val="20"/>
        </w:rPr>
        <w:t xml:space="preserve"> foi acompanhada de queda do índice de polarização até 2012, mas a polarização cresce em 2013, com perdas para o estrato intermediário. Os testes foram replicados pelo autor deste trabalho à PNAD de 2014, confirmando o crescimento da polarização </w:t>
      </w:r>
    </w:p>
  </w:footnote>
  <w:footnote w:id="13">
    <w:p w14:paraId="08986C97" w14:textId="27AF613D" w:rsidR="005E6A24" w:rsidRPr="00CA6D5B" w:rsidRDefault="005E6A24">
      <w:pPr>
        <w:pStyle w:val="Textodenotaderodap"/>
        <w:rPr>
          <w:sz w:val="20"/>
          <w:szCs w:val="20"/>
        </w:rPr>
      </w:pPr>
      <w:r w:rsidRPr="00CA6D5B">
        <w:rPr>
          <w:rStyle w:val="Refdenotaderodap"/>
          <w:sz w:val="20"/>
          <w:szCs w:val="20"/>
        </w:rPr>
        <w:footnoteRef/>
      </w:r>
      <w:r w:rsidRPr="00CA6D5B">
        <w:rPr>
          <w:sz w:val="20"/>
          <w:szCs w:val="20"/>
        </w:rPr>
        <w:t xml:space="preserve"> Note-se que, à época, havia um setor público expressivo, mas não havia um setor rigorosamente </w:t>
      </w:r>
      <w:r w:rsidRPr="00CA6D5B">
        <w:rPr>
          <w:b/>
          <w:sz w:val="20"/>
          <w:szCs w:val="20"/>
        </w:rPr>
        <w:t>monitorado</w:t>
      </w:r>
      <w:r w:rsidRPr="00CA6D5B">
        <w:rPr>
          <w:sz w:val="20"/>
          <w:szCs w:val="20"/>
        </w:rPr>
        <w:t xml:space="preserve"> da mesma expressão daquele que emerge após as privatizações de </w:t>
      </w:r>
      <w:r>
        <w:rPr>
          <w:sz w:val="20"/>
          <w:szCs w:val="20"/>
        </w:rPr>
        <w:t>FHC</w:t>
      </w:r>
      <w:r w:rsidRPr="00CA6D5B">
        <w:rPr>
          <w:sz w:val="20"/>
          <w:szCs w:val="20"/>
        </w:rPr>
        <w:t xml:space="preserve">. </w:t>
      </w:r>
    </w:p>
  </w:footnote>
  <w:footnote w:id="14">
    <w:p w14:paraId="5A8AA024" w14:textId="77777777" w:rsidR="005E6A24" w:rsidRPr="00CA6D5B" w:rsidRDefault="005E6A24">
      <w:pPr>
        <w:pStyle w:val="Textodenotaderodap"/>
        <w:rPr>
          <w:sz w:val="20"/>
          <w:szCs w:val="20"/>
        </w:rPr>
      </w:pPr>
      <w:r w:rsidRPr="00CA6D5B">
        <w:rPr>
          <w:rStyle w:val="Refdenotaderodap"/>
          <w:sz w:val="20"/>
          <w:szCs w:val="20"/>
        </w:rPr>
        <w:footnoteRef/>
      </w:r>
      <w:r w:rsidRPr="00CA6D5B">
        <w:rPr>
          <w:sz w:val="20"/>
          <w:szCs w:val="20"/>
        </w:rPr>
        <w:t xml:space="preserve"> A partir da reação dos agentes fornecedores dos bens (importados ou exportados precificados em dólar) e serviços (essencialmente, mão de obra e demais serviços profissionais) que entram no cálculo dos custos unitários diretos das firmas, elevando novamente seus preços nominais, numa espiral inflacionária.</w:t>
      </w:r>
    </w:p>
  </w:footnote>
  <w:footnote w:id="15">
    <w:p w14:paraId="132E6344" w14:textId="77777777" w:rsidR="005E6A24" w:rsidRPr="00CA6D5B" w:rsidRDefault="005E6A24">
      <w:pPr>
        <w:pStyle w:val="Textodenotaderodap"/>
        <w:rPr>
          <w:sz w:val="20"/>
          <w:szCs w:val="20"/>
        </w:rPr>
      </w:pPr>
      <w:r w:rsidRPr="00CA6D5B">
        <w:rPr>
          <w:rStyle w:val="Refdenotaderodap"/>
          <w:sz w:val="20"/>
          <w:szCs w:val="20"/>
        </w:rPr>
        <w:footnoteRef/>
      </w:r>
      <w:r w:rsidRPr="00CA6D5B">
        <w:rPr>
          <w:sz w:val="20"/>
          <w:szCs w:val="20"/>
        </w:rPr>
        <w:t xml:space="preserve"> Enquanto nos setores não-</w:t>
      </w:r>
      <w:proofErr w:type="spellStart"/>
      <w:r w:rsidRPr="00CA6D5B">
        <w:rPr>
          <w:i/>
          <w:sz w:val="20"/>
          <w:szCs w:val="20"/>
        </w:rPr>
        <w:t>tradable</w:t>
      </w:r>
      <w:proofErr w:type="spellEnd"/>
      <w:r w:rsidRPr="00CA6D5B">
        <w:rPr>
          <w:sz w:val="20"/>
          <w:szCs w:val="20"/>
        </w:rPr>
        <w:t xml:space="preserve"> a inflação correspondia à pressão de custos, no setor </w:t>
      </w:r>
      <w:proofErr w:type="spellStart"/>
      <w:r w:rsidRPr="00CA6D5B">
        <w:rPr>
          <w:i/>
          <w:sz w:val="20"/>
          <w:szCs w:val="20"/>
        </w:rPr>
        <w:t>tradable</w:t>
      </w:r>
      <w:proofErr w:type="spellEnd"/>
      <w:r w:rsidRPr="00CA6D5B">
        <w:rPr>
          <w:sz w:val="20"/>
          <w:szCs w:val="20"/>
        </w:rPr>
        <w:t xml:space="preserve"> a inflação correspondia à pressão de custos mais a elevação do </w:t>
      </w:r>
      <w:r w:rsidRPr="00CA6D5B">
        <w:rPr>
          <w:i/>
          <w:sz w:val="20"/>
          <w:szCs w:val="20"/>
        </w:rPr>
        <w:t>mark-up</w:t>
      </w:r>
      <w:r w:rsidRPr="00CA6D5B">
        <w:rPr>
          <w:sz w:val="20"/>
          <w:szCs w:val="20"/>
        </w:rPr>
        <w:t xml:space="preserve">.  </w:t>
      </w:r>
    </w:p>
  </w:footnote>
  <w:footnote w:id="16">
    <w:p w14:paraId="75A2E78A" w14:textId="77777777" w:rsidR="005E6A24" w:rsidRPr="00CA6D5B" w:rsidRDefault="005E6A24">
      <w:pPr>
        <w:pStyle w:val="Textodenotaderodap"/>
        <w:rPr>
          <w:sz w:val="20"/>
          <w:szCs w:val="20"/>
        </w:rPr>
      </w:pPr>
      <w:r w:rsidRPr="00CA6D5B">
        <w:rPr>
          <w:rStyle w:val="Refdenotaderodap"/>
          <w:sz w:val="20"/>
          <w:szCs w:val="20"/>
        </w:rPr>
        <w:footnoteRef/>
      </w:r>
      <w:r w:rsidRPr="00CA6D5B">
        <w:rPr>
          <w:sz w:val="20"/>
          <w:szCs w:val="20"/>
        </w:rPr>
        <w:t xml:space="preserve"> Não estamos pretendendo que o objetivo da institucionalização da correção monetária no Plano de Ação Econômica do Governo (PAEG) tenha sido o de instrumentalizar a especulação bancária com a inflação (ainda que a defesa dos bancos como segmento preferencial de valorização do capital privado nacional encontre-se, sim, dentre os objetivos não escritos do PAEG). No momento de sua criação, a correção monetária tinha por objetivo viabilizar o funcionamento do Estado (evitando que o contribuinte opte por pagar em atraso para se beneficiar da corrosão inflacionária) e permitir a reestruturação do sistema de financiamento ao setor público (dívida e obras públicas) e ao setor privado (construção civil em geral e habitação em particular) no interior de uma estratégia gradualista de enfrentamento da inflação. Não obstante, este mesmo sistema, ganhará novas funções com a crise dos anos 80, funções estas que serão alavancadas pela agilidade emprestada pela automação bancária e pela revolução dos sistemas de comunicação e informação em curso. </w:t>
      </w:r>
    </w:p>
  </w:footnote>
  <w:footnote w:id="17">
    <w:p w14:paraId="0599900C" w14:textId="77777777" w:rsidR="005E6A24" w:rsidRPr="00CA6D5B" w:rsidRDefault="005E6A24" w:rsidP="00E34DDB">
      <w:pPr>
        <w:pStyle w:val="Textodenotaderodap"/>
        <w:rPr>
          <w:sz w:val="20"/>
          <w:szCs w:val="20"/>
        </w:rPr>
      </w:pPr>
      <w:r w:rsidRPr="00CA6D5B">
        <w:rPr>
          <w:rStyle w:val="Refdenotaderodap"/>
          <w:sz w:val="20"/>
          <w:szCs w:val="20"/>
        </w:rPr>
        <w:footnoteRef/>
      </w:r>
      <w:r w:rsidRPr="00CA6D5B">
        <w:rPr>
          <w:sz w:val="20"/>
          <w:szCs w:val="20"/>
        </w:rPr>
        <w:t xml:space="preserve"> Malgrado os recorrentes choques sobre a componente inercial dos Planos Cruzado, Bresser, Verão, etc. A este respeito veja-se Castro, 2005, pp. 116 e segs.</w:t>
      </w:r>
    </w:p>
  </w:footnote>
  <w:footnote w:id="18">
    <w:p w14:paraId="6F37DA06" w14:textId="77777777" w:rsidR="005E6A24" w:rsidRPr="00CA6D5B" w:rsidRDefault="005E6A24" w:rsidP="00B37598">
      <w:pPr>
        <w:spacing w:line="240" w:lineRule="auto"/>
        <w:rPr>
          <w:rFonts w:ascii="Times" w:eastAsia="Times New Roman" w:hAnsi="Times" w:cs="Times New Roman"/>
          <w:sz w:val="20"/>
          <w:szCs w:val="20"/>
        </w:rPr>
      </w:pPr>
      <w:r w:rsidRPr="00CA6D5B">
        <w:rPr>
          <w:rStyle w:val="Refdenotaderodap"/>
          <w:sz w:val="20"/>
          <w:szCs w:val="20"/>
        </w:rPr>
        <w:footnoteRef/>
      </w:r>
      <w:r w:rsidRPr="00CA6D5B">
        <w:rPr>
          <w:sz w:val="20"/>
          <w:szCs w:val="20"/>
        </w:rPr>
        <w:t xml:space="preserve"> A inflação nos anos subsequentes até a implantação do Plano Real foi de 472,69% em 1991; 1119,09% em 1992; 2477,15% em 1993. A evolução da distribuição da renda neste período é controversa. E isto na medida em que, como argumenta Hoffmann “a inflação elevada [e crônica] faz com que as pessoas errem mais ao declarar seu rendimento e isso introduz nos dados um ‘ruído’ adicional” (Hoffmann, 2001, versão on-line). </w:t>
      </w:r>
    </w:p>
    <w:p w14:paraId="4CB404D3" w14:textId="77777777" w:rsidR="005E6A24" w:rsidRPr="00CA6D5B" w:rsidRDefault="005E6A24">
      <w:pPr>
        <w:pStyle w:val="Textodenotaderodap"/>
        <w:rPr>
          <w:sz w:val="20"/>
          <w:szCs w:val="20"/>
        </w:rPr>
      </w:pPr>
    </w:p>
  </w:footnote>
  <w:footnote w:id="19">
    <w:p w14:paraId="3129FB2E" w14:textId="77777777" w:rsidR="005E6A24" w:rsidRPr="00CA6D5B" w:rsidRDefault="005E6A24">
      <w:pPr>
        <w:pStyle w:val="Textodenotaderodap"/>
        <w:rPr>
          <w:sz w:val="20"/>
          <w:szCs w:val="20"/>
        </w:rPr>
      </w:pPr>
      <w:r w:rsidRPr="00CA6D5B">
        <w:rPr>
          <w:rStyle w:val="Refdenotaderodap"/>
          <w:sz w:val="20"/>
          <w:szCs w:val="20"/>
        </w:rPr>
        <w:footnoteRef/>
      </w:r>
      <w:r w:rsidRPr="00CA6D5B">
        <w:rPr>
          <w:sz w:val="20"/>
          <w:szCs w:val="20"/>
        </w:rPr>
        <w:t xml:space="preserve"> Esta é, aliás, uma dificuldade crônica na esquerda, como se observa nos dias que correm. Ela é pródiga em </w:t>
      </w:r>
      <w:r w:rsidRPr="00CA6D5B">
        <w:rPr>
          <w:b/>
          <w:sz w:val="20"/>
          <w:szCs w:val="20"/>
        </w:rPr>
        <w:t>contestar</w:t>
      </w:r>
      <w:r w:rsidRPr="00CA6D5B">
        <w:rPr>
          <w:sz w:val="20"/>
          <w:szCs w:val="20"/>
        </w:rPr>
        <w:t xml:space="preserve"> as ortodoxias fiscal e monetária e em </w:t>
      </w:r>
      <w:r w:rsidRPr="00CA6D5B">
        <w:rPr>
          <w:b/>
          <w:sz w:val="20"/>
          <w:szCs w:val="20"/>
        </w:rPr>
        <w:t xml:space="preserve">tolerar </w:t>
      </w:r>
      <w:r w:rsidRPr="00CA6D5B">
        <w:rPr>
          <w:sz w:val="20"/>
          <w:szCs w:val="20"/>
        </w:rPr>
        <w:t xml:space="preserve">represamentos de preços e inflações no limite da meta ou acima da mesma. Mas muito pouco criativa para produzir alternativas. Infelizmente.   </w:t>
      </w:r>
    </w:p>
  </w:footnote>
  <w:footnote w:id="20">
    <w:p w14:paraId="3295D619" w14:textId="4F8918F8" w:rsidR="005E6A24" w:rsidRPr="00CA6D5B" w:rsidRDefault="005E6A24">
      <w:pPr>
        <w:pStyle w:val="Textodenotaderodap"/>
        <w:rPr>
          <w:sz w:val="20"/>
          <w:szCs w:val="20"/>
        </w:rPr>
      </w:pPr>
      <w:r w:rsidRPr="00CA6D5B">
        <w:rPr>
          <w:rStyle w:val="Refdenotaderodap"/>
          <w:sz w:val="20"/>
          <w:szCs w:val="20"/>
        </w:rPr>
        <w:footnoteRef/>
      </w:r>
      <w:r w:rsidRPr="00CA6D5B">
        <w:rPr>
          <w:sz w:val="20"/>
          <w:szCs w:val="20"/>
        </w:rPr>
        <w:t xml:space="preserve">  </w:t>
      </w:r>
      <w:r>
        <w:rPr>
          <w:sz w:val="20"/>
          <w:szCs w:val="20"/>
        </w:rPr>
        <w:t>U</w:t>
      </w:r>
      <w:r w:rsidRPr="00CA6D5B">
        <w:rPr>
          <w:sz w:val="20"/>
          <w:szCs w:val="20"/>
        </w:rPr>
        <w:t>m país está no “mundo Mundell-Fleming” quando ele se encontra integrado ao circuito financeiro internacional, de sorte que sua política monetária e de juros se conecta diretamente à taxa de câmbio e à taxa de inflação. Sempre que o país se depara com uma inflação mais elevada, ele eleva a taxa de juros, com isto ele atrai capital externo em busca de valorização à esta taxa juros superior à média mundial e sua moeda se valoriza. A consequência é a queda do preço dos importados e dos exportados e, por extensão, a queda da inflação.</w:t>
      </w:r>
    </w:p>
  </w:footnote>
  <w:footnote w:id="21">
    <w:p w14:paraId="39435460" w14:textId="77777777" w:rsidR="005E6A24" w:rsidRPr="00CA6D5B" w:rsidRDefault="005E6A24">
      <w:pPr>
        <w:pStyle w:val="Textodenotaderodap"/>
        <w:rPr>
          <w:sz w:val="20"/>
          <w:szCs w:val="20"/>
        </w:rPr>
      </w:pPr>
      <w:r w:rsidRPr="00CA6D5B">
        <w:rPr>
          <w:rStyle w:val="Refdenotaderodap"/>
          <w:sz w:val="20"/>
          <w:szCs w:val="20"/>
        </w:rPr>
        <w:footnoteRef/>
      </w:r>
      <w:r w:rsidRPr="00CA6D5B">
        <w:rPr>
          <w:sz w:val="20"/>
          <w:szCs w:val="20"/>
        </w:rPr>
        <w:t xml:space="preserve"> Será de 18,57% no último semestre de 1994 e de 22,41% ao longo de 1995, acima das previsões dos formuladores do Plano Real.</w:t>
      </w:r>
    </w:p>
  </w:footnote>
  <w:footnote w:id="22">
    <w:p w14:paraId="6708B1CD" w14:textId="598FD183" w:rsidR="005E6A24" w:rsidRPr="00CA6D5B" w:rsidRDefault="005E6A24">
      <w:pPr>
        <w:pStyle w:val="Textodenotaderodap"/>
        <w:rPr>
          <w:sz w:val="20"/>
          <w:szCs w:val="20"/>
        </w:rPr>
      </w:pPr>
      <w:r w:rsidRPr="00CA6D5B">
        <w:rPr>
          <w:rStyle w:val="Refdenotaderodap"/>
          <w:sz w:val="20"/>
          <w:szCs w:val="20"/>
        </w:rPr>
        <w:footnoteRef/>
      </w:r>
      <w:r w:rsidRPr="00CA6D5B">
        <w:rPr>
          <w:sz w:val="20"/>
          <w:szCs w:val="20"/>
        </w:rPr>
        <w:t xml:space="preserve"> Em termos simples: a sobrevalorização crônica do real foi um catalisador particularmente eficiente da </w:t>
      </w:r>
      <w:proofErr w:type="spellStart"/>
      <w:r w:rsidRPr="00CA6D5B">
        <w:rPr>
          <w:sz w:val="20"/>
          <w:szCs w:val="20"/>
        </w:rPr>
        <w:t>transnacionalização</w:t>
      </w:r>
      <w:proofErr w:type="spellEnd"/>
      <w:r w:rsidRPr="00CA6D5B">
        <w:rPr>
          <w:sz w:val="20"/>
          <w:szCs w:val="20"/>
        </w:rPr>
        <w:t xml:space="preserve"> do estrato superior da burguesia nacional. Esta estratégia é indissociável da privatização seletiva de </w:t>
      </w:r>
      <w:r>
        <w:rPr>
          <w:sz w:val="20"/>
          <w:szCs w:val="20"/>
        </w:rPr>
        <w:t>FHCFHC</w:t>
      </w:r>
      <w:r w:rsidRPr="00CA6D5B">
        <w:rPr>
          <w:sz w:val="20"/>
          <w:szCs w:val="20"/>
        </w:rPr>
        <w:t xml:space="preserve">. A sobrevalorização torna os preços das empresas nacionais (estatais e privadas) em dólares muito elevados e a aquisição por agentes externos relativamente menos atraente, abrindo espaço para o capital nacional nas privatizações e freando a desnacionalização da indústria privada ao plano da concorrência, mas desestimulando a aquisição das empresas cadentes. </w:t>
      </w:r>
    </w:p>
  </w:footnote>
  <w:footnote w:id="23">
    <w:p w14:paraId="5399F7E3" w14:textId="77777777" w:rsidR="005E6A24" w:rsidRPr="00CA6D5B" w:rsidRDefault="005E6A24">
      <w:pPr>
        <w:pStyle w:val="Textodenotaderodap"/>
        <w:rPr>
          <w:sz w:val="20"/>
          <w:szCs w:val="20"/>
        </w:rPr>
      </w:pPr>
      <w:r w:rsidRPr="00CA6D5B">
        <w:rPr>
          <w:rStyle w:val="Refdenotaderodap"/>
          <w:sz w:val="20"/>
          <w:szCs w:val="20"/>
        </w:rPr>
        <w:footnoteRef/>
      </w:r>
      <w:r w:rsidRPr="00CA6D5B">
        <w:rPr>
          <w:sz w:val="20"/>
          <w:szCs w:val="20"/>
        </w:rPr>
        <w:t xml:space="preserve"> Daí, inclusive, o significado simbólico de grande importância da substituição de Gustavo Franco e Francisco Lopes por Armínio Fraga. A atração de um economista brasileiro de expressão internacional era fundamental para que não se criasse a imagem de um Bacen teleguiado a partir do Ministério da Fazenda. </w:t>
      </w:r>
    </w:p>
  </w:footnote>
  <w:footnote w:id="24">
    <w:p w14:paraId="54C7A751" w14:textId="77777777" w:rsidR="005E6A24" w:rsidRPr="00CA6D5B" w:rsidRDefault="005E6A24" w:rsidP="00041A5A">
      <w:pPr>
        <w:pStyle w:val="Textodenotaderodap"/>
        <w:rPr>
          <w:sz w:val="20"/>
          <w:szCs w:val="20"/>
        </w:rPr>
      </w:pPr>
      <w:r w:rsidRPr="00CA6D5B">
        <w:rPr>
          <w:rStyle w:val="Refdenotaderodap"/>
          <w:sz w:val="20"/>
          <w:szCs w:val="20"/>
        </w:rPr>
        <w:footnoteRef/>
      </w:r>
      <w:r w:rsidRPr="00CA6D5B">
        <w:rPr>
          <w:sz w:val="20"/>
          <w:szCs w:val="20"/>
        </w:rPr>
        <w:t xml:space="preserve"> Quando o Bank </w:t>
      </w:r>
      <w:proofErr w:type="spellStart"/>
      <w:r w:rsidRPr="00CA6D5B">
        <w:rPr>
          <w:sz w:val="20"/>
          <w:szCs w:val="20"/>
        </w:rPr>
        <w:t>of</w:t>
      </w:r>
      <w:proofErr w:type="spellEnd"/>
      <w:r w:rsidRPr="00CA6D5B">
        <w:rPr>
          <w:sz w:val="20"/>
          <w:szCs w:val="20"/>
        </w:rPr>
        <w:t xml:space="preserve"> </w:t>
      </w:r>
      <w:proofErr w:type="spellStart"/>
      <w:r w:rsidRPr="00CA6D5B">
        <w:rPr>
          <w:sz w:val="20"/>
          <w:szCs w:val="20"/>
        </w:rPr>
        <w:t>America</w:t>
      </w:r>
      <w:proofErr w:type="spellEnd"/>
      <w:r w:rsidRPr="00CA6D5B">
        <w:rPr>
          <w:sz w:val="20"/>
          <w:szCs w:val="20"/>
        </w:rPr>
        <w:t xml:space="preserve"> adquire o FleetBoston Financial, cujas operações Meirelles comandava na América do Sul.</w:t>
      </w:r>
    </w:p>
  </w:footnote>
  <w:footnote w:id="25">
    <w:p w14:paraId="0A6A9ED4" w14:textId="77777777" w:rsidR="005E6A24" w:rsidRPr="00CA6D5B" w:rsidRDefault="005E6A24" w:rsidP="009D0109">
      <w:pPr>
        <w:pStyle w:val="Textodenotaderodap"/>
        <w:rPr>
          <w:sz w:val="20"/>
          <w:szCs w:val="20"/>
        </w:rPr>
      </w:pPr>
      <w:r w:rsidRPr="00CA6D5B">
        <w:rPr>
          <w:rStyle w:val="Refdenotaderodap"/>
          <w:sz w:val="20"/>
          <w:szCs w:val="20"/>
        </w:rPr>
        <w:footnoteRef/>
      </w:r>
      <w:r w:rsidRPr="00CA6D5B">
        <w:rPr>
          <w:sz w:val="20"/>
          <w:szCs w:val="20"/>
        </w:rPr>
        <w:t xml:space="preserve"> A circunstância constrangedora diz respeito ao flagrante de transporte não declarado de R$ 32 mil em espécie por parte do cunhado do Presidente do Bacen em viagem interestadual que acabou trazendo a lume discrepância no patrimônio declarado de Henrique Meirelles. Com vistas a impedir a abertura de processo, o Presidente do Bacen foi elevado a Ministro de Estado (que conta com </w:t>
      </w:r>
      <w:proofErr w:type="spellStart"/>
      <w:r w:rsidRPr="00CA6D5B">
        <w:rPr>
          <w:sz w:val="20"/>
          <w:szCs w:val="20"/>
        </w:rPr>
        <w:t>Forum</w:t>
      </w:r>
      <w:proofErr w:type="spellEnd"/>
      <w:r w:rsidRPr="00CA6D5B">
        <w:rPr>
          <w:sz w:val="20"/>
          <w:szCs w:val="20"/>
        </w:rPr>
        <w:t xml:space="preserve"> privilegiado).</w:t>
      </w:r>
    </w:p>
  </w:footnote>
  <w:footnote w:id="26">
    <w:p w14:paraId="375BDAAC" w14:textId="7D656C3F" w:rsidR="005E6A24" w:rsidRPr="00CA6D5B" w:rsidRDefault="005E6A24">
      <w:pPr>
        <w:pStyle w:val="Textodenotaderodap"/>
        <w:rPr>
          <w:sz w:val="20"/>
          <w:szCs w:val="20"/>
        </w:rPr>
      </w:pPr>
      <w:r w:rsidRPr="00CA6D5B">
        <w:rPr>
          <w:rStyle w:val="Refdenotaderodap"/>
          <w:sz w:val="20"/>
          <w:szCs w:val="20"/>
        </w:rPr>
        <w:footnoteRef/>
      </w:r>
      <w:r w:rsidRPr="00CA6D5B">
        <w:rPr>
          <w:sz w:val="20"/>
          <w:szCs w:val="20"/>
        </w:rPr>
        <w:t xml:space="preserve"> No caso do Brasil, o deflator é o IPCA. No caso dos EUA é o índice de preços ao consumidor mensal não ajustado sazonalmente calculado pelo B</w:t>
      </w:r>
      <w:r>
        <w:rPr>
          <w:sz w:val="20"/>
          <w:szCs w:val="20"/>
        </w:rPr>
        <w:t>u</w:t>
      </w:r>
      <w:r w:rsidRPr="00CA6D5B">
        <w:rPr>
          <w:sz w:val="20"/>
          <w:szCs w:val="20"/>
        </w:rPr>
        <w:t xml:space="preserve">reau </w:t>
      </w:r>
      <w:proofErr w:type="spellStart"/>
      <w:r w:rsidRPr="00CA6D5B">
        <w:rPr>
          <w:sz w:val="20"/>
          <w:szCs w:val="20"/>
        </w:rPr>
        <w:t>of</w:t>
      </w:r>
      <w:proofErr w:type="spellEnd"/>
      <w:r w:rsidRPr="00CA6D5B">
        <w:rPr>
          <w:sz w:val="20"/>
          <w:szCs w:val="20"/>
        </w:rPr>
        <w:t xml:space="preserve"> Labor </w:t>
      </w:r>
      <w:proofErr w:type="spellStart"/>
      <w:r w:rsidRPr="00CA6D5B">
        <w:rPr>
          <w:sz w:val="20"/>
          <w:szCs w:val="20"/>
        </w:rPr>
        <w:t>Statistics</w:t>
      </w:r>
      <w:proofErr w:type="spellEnd"/>
      <w:r w:rsidRPr="00CA6D5B">
        <w:rPr>
          <w:sz w:val="20"/>
          <w:szCs w:val="20"/>
        </w:rPr>
        <w:t xml:space="preserve">. </w:t>
      </w:r>
    </w:p>
  </w:footnote>
  <w:footnote w:id="27">
    <w:p w14:paraId="59E0C00A" w14:textId="3546AE81" w:rsidR="005E6A24" w:rsidRPr="00676DEF" w:rsidRDefault="005E6A24">
      <w:pPr>
        <w:pStyle w:val="Textodenotaderodap"/>
        <w:rPr>
          <w:sz w:val="20"/>
          <w:szCs w:val="20"/>
        </w:rPr>
      </w:pPr>
      <w:r w:rsidRPr="00676DEF">
        <w:rPr>
          <w:rStyle w:val="Refdenotaderodap"/>
          <w:sz w:val="20"/>
          <w:szCs w:val="20"/>
        </w:rPr>
        <w:footnoteRef/>
      </w:r>
      <w:r w:rsidRPr="00676DEF">
        <w:rPr>
          <w:sz w:val="20"/>
          <w:szCs w:val="20"/>
        </w:rPr>
        <w:t xml:space="preserve"> </w:t>
      </w:r>
      <w:r w:rsidRPr="0005168E">
        <w:rPr>
          <w:sz w:val="20"/>
        </w:rPr>
        <w:t xml:space="preserve">A planilha com o processo de cálculo do câmbio real desde então (bem como todas as planilhas com os cálculos e testes feitos por nós e referidos neste trabalho) encontra-se em meu site no endereço </w:t>
      </w:r>
      <w:hyperlink r:id="rId1" w:history="1">
        <w:r w:rsidR="0005168E" w:rsidRPr="0005168E">
          <w:rPr>
            <w:rStyle w:val="Hyperlink"/>
            <w:sz w:val="20"/>
          </w:rPr>
          <w:t>http://territoriopaiva.com.br/producao-teorica/artigos-publicados/indicadores-economicos-fee</w:t>
        </w:r>
      </w:hyperlink>
      <w:r w:rsidR="0005168E">
        <w:rPr>
          <w:sz w:val="20"/>
        </w:rPr>
        <w:t>.</w:t>
      </w:r>
    </w:p>
  </w:footnote>
  <w:footnote w:id="28">
    <w:p w14:paraId="1E342B62" w14:textId="7E5F459E" w:rsidR="005E6A24" w:rsidRPr="00CA6D5B" w:rsidRDefault="005E6A24" w:rsidP="00186C14">
      <w:pPr>
        <w:pStyle w:val="Textodenotaderodap"/>
        <w:rPr>
          <w:sz w:val="20"/>
          <w:szCs w:val="20"/>
        </w:rPr>
      </w:pPr>
      <w:r w:rsidRPr="00CA6D5B">
        <w:rPr>
          <w:rStyle w:val="Refdenotaderodap"/>
          <w:sz w:val="20"/>
          <w:szCs w:val="20"/>
        </w:rPr>
        <w:footnoteRef/>
      </w:r>
      <w:r w:rsidRPr="00CA6D5B">
        <w:rPr>
          <w:sz w:val="20"/>
          <w:szCs w:val="20"/>
        </w:rPr>
        <w:t xml:space="preserve"> A planilha completa, com as correlações com todas as de</w:t>
      </w:r>
      <w:r w:rsidRPr="00BD1CCF">
        <w:rPr>
          <w:sz w:val="20"/>
          <w:szCs w:val="20"/>
        </w:rPr>
        <w:t xml:space="preserve">fasagens podem ser obtidas em </w:t>
      </w:r>
      <w:hyperlink r:id="rId2" w:history="1">
        <w:r w:rsidR="0005168E" w:rsidRPr="0005168E">
          <w:rPr>
            <w:rStyle w:val="Hyperlink"/>
            <w:sz w:val="20"/>
            <w:szCs w:val="20"/>
          </w:rPr>
          <w:t>http://territoriopaiva.com.br/producao-teorica/artigos-publicados/indicadores-economicos-fee</w:t>
        </w:r>
      </w:hyperlink>
      <w:r w:rsidRPr="0005168E">
        <w:rPr>
          <w:sz w:val="20"/>
          <w:szCs w:val="20"/>
        </w:rPr>
        <w:t xml:space="preserve">. </w:t>
      </w:r>
      <w:r w:rsidRPr="00CA6D5B">
        <w:rPr>
          <w:sz w:val="20"/>
          <w:szCs w:val="20"/>
        </w:rPr>
        <w:t xml:space="preserve">A diferença entre as séries </w:t>
      </w:r>
      <w:r w:rsidRPr="00CA6D5B">
        <w:rPr>
          <w:b/>
          <w:sz w:val="20"/>
          <w:szCs w:val="20"/>
        </w:rPr>
        <w:t>2014</w:t>
      </w:r>
      <w:r w:rsidRPr="00CA6D5B">
        <w:rPr>
          <w:sz w:val="20"/>
          <w:szCs w:val="20"/>
        </w:rPr>
        <w:t xml:space="preserve"> e </w:t>
      </w:r>
      <w:r w:rsidRPr="00CA6D5B">
        <w:rPr>
          <w:b/>
          <w:sz w:val="20"/>
          <w:szCs w:val="20"/>
        </w:rPr>
        <w:t>2014*</w:t>
      </w:r>
      <w:r w:rsidRPr="00CA6D5B">
        <w:rPr>
          <w:sz w:val="20"/>
          <w:szCs w:val="20"/>
        </w:rPr>
        <w:t xml:space="preserve"> serão explicadas logo adiante.</w:t>
      </w:r>
    </w:p>
  </w:footnote>
  <w:footnote w:id="29">
    <w:p w14:paraId="527109B8" w14:textId="77777777" w:rsidR="005E6A24" w:rsidRPr="00CA6D5B" w:rsidRDefault="005E6A24">
      <w:pPr>
        <w:pStyle w:val="Textodenotaderodap"/>
        <w:rPr>
          <w:sz w:val="20"/>
          <w:szCs w:val="20"/>
        </w:rPr>
      </w:pPr>
      <w:r w:rsidRPr="00CA6D5B">
        <w:rPr>
          <w:rStyle w:val="Refdenotaderodap"/>
          <w:sz w:val="20"/>
          <w:szCs w:val="20"/>
        </w:rPr>
        <w:footnoteRef/>
      </w:r>
      <w:r w:rsidRPr="00CA6D5B">
        <w:rPr>
          <w:sz w:val="20"/>
          <w:szCs w:val="20"/>
        </w:rPr>
        <w:t xml:space="preserve"> Tanto as </w:t>
      </w:r>
      <w:proofErr w:type="spellStart"/>
      <w:r w:rsidRPr="00CA6D5B">
        <w:rPr>
          <w:sz w:val="20"/>
          <w:szCs w:val="20"/>
        </w:rPr>
        <w:t>PIs</w:t>
      </w:r>
      <w:proofErr w:type="spellEnd"/>
      <w:r w:rsidRPr="00CA6D5B">
        <w:rPr>
          <w:sz w:val="20"/>
          <w:szCs w:val="20"/>
        </w:rPr>
        <w:t xml:space="preserve"> de inflexão </w:t>
      </w:r>
      <w:proofErr w:type="spellStart"/>
      <w:r w:rsidRPr="00CA6D5B">
        <w:rPr>
          <w:sz w:val="20"/>
          <w:szCs w:val="20"/>
        </w:rPr>
        <w:t>cepalina</w:t>
      </w:r>
      <w:proofErr w:type="spellEnd"/>
      <w:r w:rsidRPr="00CA6D5B">
        <w:rPr>
          <w:sz w:val="20"/>
          <w:szCs w:val="20"/>
        </w:rPr>
        <w:t xml:space="preserve"> quanto as </w:t>
      </w:r>
      <w:proofErr w:type="spellStart"/>
      <w:r w:rsidRPr="00CA6D5B">
        <w:rPr>
          <w:sz w:val="20"/>
          <w:szCs w:val="20"/>
        </w:rPr>
        <w:t>PIs</w:t>
      </w:r>
      <w:proofErr w:type="spellEnd"/>
      <w:r w:rsidRPr="00CA6D5B">
        <w:rPr>
          <w:sz w:val="20"/>
          <w:szCs w:val="20"/>
        </w:rPr>
        <w:t xml:space="preserve"> de inflexão </w:t>
      </w:r>
      <w:proofErr w:type="spellStart"/>
      <w:r w:rsidRPr="00CA6D5B">
        <w:rPr>
          <w:sz w:val="20"/>
          <w:szCs w:val="20"/>
        </w:rPr>
        <w:t>neo-schumpeteriana</w:t>
      </w:r>
      <w:proofErr w:type="spellEnd"/>
      <w:r w:rsidRPr="00CA6D5B">
        <w:rPr>
          <w:sz w:val="20"/>
          <w:szCs w:val="20"/>
        </w:rPr>
        <w:t xml:space="preserve"> focadas nos setores de alta tecnologia e no desenvolvimento de P&amp;D no interior das firmas tendem a aprofundar a </w:t>
      </w:r>
      <w:proofErr w:type="spellStart"/>
      <w:r w:rsidRPr="00CA6D5B">
        <w:rPr>
          <w:sz w:val="20"/>
          <w:szCs w:val="20"/>
        </w:rPr>
        <w:t>oligopolização</w:t>
      </w:r>
      <w:proofErr w:type="spellEnd"/>
      <w:r w:rsidRPr="00CA6D5B">
        <w:rPr>
          <w:sz w:val="20"/>
          <w:szCs w:val="20"/>
        </w:rPr>
        <w:t>, o</w:t>
      </w:r>
      <w:r>
        <w:rPr>
          <w:sz w:val="20"/>
          <w:szCs w:val="20"/>
        </w:rPr>
        <w:t xml:space="preserve"> grau de monopólio, o mark-up e, por extensão, </w:t>
      </w:r>
      <w:r w:rsidRPr="00CA6D5B">
        <w:rPr>
          <w:sz w:val="20"/>
          <w:szCs w:val="20"/>
        </w:rPr>
        <w:t xml:space="preserve">a concentração da renda da economia. </w:t>
      </w:r>
    </w:p>
  </w:footnote>
  <w:footnote w:id="30">
    <w:p w14:paraId="558EBDBF" w14:textId="77777777" w:rsidR="005E6A24" w:rsidRPr="00CA6D5B" w:rsidRDefault="005E6A24">
      <w:pPr>
        <w:pStyle w:val="Textodenotaderodap"/>
        <w:rPr>
          <w:sz w:val="20"/>
          <w:szCs w:val="20"/>
        </w:rPr>
      </w:pPr>
      <w:r w:rsidRPr="00CA6D5B">
        <w:rPr>
          <w:rStyle w:val="Refdenotaderodap"/>
          <w:sz w:val="20"/>
          <w:szCs w:val="20"/>
        </w:rPr>
        <w:footnoteRef/>
      </w:r>
      <w:r w:rsidRPr="00CA6D5B">
        <w:rPr>
          <w:sz w:val="20"/>
          <w:szCs w:val="20"/>
        </w:rPr>
        <w:t xml:space="preserve"> Como a ancoragem cambial não tem eficácia sobre os não-</w:t>
      </w:r>
      <w:proofErr w:type="spellStart"/>
      <w:r w:rsidRPr="00CA6D5B">
        <w:rPr>
          <w:i/>
          <w:sz w:val="20"/>
          <w:szCs w:val="20"/>
        </w:rPr>
        <w:t>tradables</w:t>
      </w:r>
      <w:proofErr w:type="spellEnd"/>
      <w:r w:rsidRPr="00CA6D5B">
        <w:rPr>
          <w:sz w:val="20"/>
          <w:szCs w:val="20"/>
        </w:rPr>
        <w:t>, a inflação irá se acelerar neste segmento (como se observa no Quadro 1, na primeira seção) tornando-o “puxador dos preços”. Isto imporá um papel mais ativo ao Ministério da Fazenda no combate à inflação, postergando os reajustes dos preços sob controle público e revendo os sistemas de indexação dos “monitorados” sob controle privado. Estes movimentos ficam claros no mesmo Quadro 1 e foram objeto de análise anterior.</w:t>
      </w:r>
    </w:p>
  </w:footnote>
  <w:footnote w:id="31">
    <w:p w14:paraId="6012236C" w14:textId="795951DC" w:rsidR="005E6A24" w:rsidRPr="00CA6D5B" w:rsidRDefault="005E6A24">
      <w:pPr>
        <w:pStyle w:val="Textodenotaderodap"/>
        <w:rPr>
          <w:sz w:val="20"/>
          <w:szCs w:val="20"/>
        </w:rPr>
      </w:pPr>
      <w:r w:rsidRPr="00CA6D5B">
        <w:rPr>
          <w:rStyle w:val="Refdenotaderodap"/>
          <w:sz w:val="20"/>
          <w:szCs w:val="20"/>
        </w:rPr>
        <w:footnoteRef/>
      </w:r>
      <w:r w:rsidRPr="00CA6D5B">
        <w:rPr>
          <w:sz w:val="20"/>
          <w:szCs w:val="20"/>
        </w:rPr>
        <w:t xml:space="preserve"> Em 2010 os mesmos pesquisadores do BNDES continuaram a pesquisa com a MIP e vão concluir que a “queda das vendas externas teve impacto generalizado sobre a indústria” (PUGA e NASCIMENTO, 2010, p. 1). Nós também fizemos alguns testes com a MIP de 2005 (a última disponível) e chegamos a conclusões similares. Em particular, evidenciou-se o baixíssimo coeficiente e multiplicador do emprego do setor produtor exportador extrativo mineral (usualmente associado à “doença holandesa”) e o elevado multiplicador da renda e do emprego </w:t>
      </w:r>
      <w:r w:rsidRPr="0005168E">
        <w:rPr>
          <w:sz w:val="20"/>
          <w:szCs w:val="20"/>
        </w:rPr>
        <w:t xml:space="preserve">do setor exportador em geral quando se extrai do </w:t>
      </w:r>
      <w:r w:rsidRPr="0005168E">
        <w:rPr>
          <w:rFonts w:cs="Times New Roman"/>
          <w:sz w:val="20"/>
          <w:szCs w:val="20"/>
        </w:rPr>
        <w:t xml:space="preserve">mesmo a indústria extrativa mineral. A este respeito, veja-se </w:t>
      </w:r>
      <w:hyperlink r:id="rId3" w:history="1">
        <w:r w:rsidR="0005168E" w:rsidRPr="0005168E">
          <w:rPr>
            <w:rStyle w:val="Hyperlink"/>
            <w:sz w:val="20"/>
            <w:szCs w:val="20"/>
          </w:rPr>
          <w:t>http://territoriopaiva.com.br/producao-teorica/artigos-publicados/indicadores-economicos-fee.</w:t>
        </w:r>
      </w:hyperlink>
    </w:p>
  </w:footnote>
  <w:footnote w:id="32">
    <w:p w14:paraId="32E5DAAD" w14:textId="77777777" w:rsidR="005E6A24" w:rsidRPr="00CA6D5B" w:rsidRDefault="005E6A24">
      <w:pPr>
        <w:pStyle w:val="Textodenotaderodap"/>
        <w:rPr>
          <w:sz w:val="20"/>
          <w:szCs w:val="20"/>
        </w:rPr>
      </w:pPr>
      <w:r w:rsidRPr="00CA6D5B">
        <w:rPr>
          <w:rStyle w:val="Refdenotaderodap"/>
          <w:sz w:val="20"/>
          <w:szCs w:val="20"/>
        </w:rPr>
        <w:footnoteRef/>
      </w:r>
      <w:r w:rsidRPr="00CA6D5B">
        <w:rPr>
          <w:sz w:val="20"/>
          <w:szCs w:val="20"/>
        </w:rPr>
        <w:t xml:space="preserve"> Uma excelente síntese de seu pensamento com dados atualizados, pode ser obtida em Bresser, 2015. </w:t>
      </w:r>
    </w:p>
  </w:footnote>
  <w:footnote w:id="33">
    <w:p w14:paraId="3702DCAA" w14:textId="77777777" w:rsidR="005E6A24" w:rsidRPr="00CA6D5B" w:rsidRDefault="005E6A24">
      <w:pPr>
        <w:pStyle w:val="Textodenotaderodap"/>
        <w:rPr>
          <w:sz w:val="20"/>
          <w:szCs w:val="20"/>
        </w:rPr>
      </w:pPr>
      <w:r w:rsidRPr="00CA6D5B">
        <w:rPr>
          <w:rStyle w:val="Refdenotaderodap"/>
          <w:sz w:val="20"/>
          <w:szCs w:val="20"/>
        </w:rPr>
        <w:footnoteRef/>
      </w:r>
      <w:r>
        <w:rPr>
          <w:sz w:val="20"/>
          <w:szCs w:val="20"/>
        </w:rPr>
        <w:t xml:space="preserve"> É bem verdade que ao final do trabalho, Bastos reconheça que “juros altos, câmbio apreciado e livre mobilidade do capital limitem o dinamismo de qualquer estilo de crescimento” (Bastos, 2012, p. 803), afirmando que os novo-desenvolvimentistas acertam no varejo o que erram no atacado. Não obstante, entendemos que o espírito geral do trabalho de Bastos promove, antes, a oposição, do que o diálogo com o novo-desenvolvimentismo e, contrariamente, entendemos que o diálogo e a superação dialética das recíprocas insuficiências de posições </w:t>
      </w:r>
      <w:proofErr w:type="gramStart"/>
      <w:r>
        <w:rPr>
          <w:sz w:val="20"/>
          <w:szCs w:val="20"/>
        </w:rPr>
        <w:t>era</w:t>
      </w:r>
      <w:proofErr w:type="gramEnd"/>
      <w:r>
        <w:rPr>
          <w:sz w:val="20"/>
          <w:szCs w:val="20"/>
        </w:rPr>
        <w:t xml:space="preserve"> essencial ao país no período.  </w:t>
      </w:r>
    </w:p>
  </w:footnote>
  <w:footnote w:id="34">
    <w:p w14:paraId="03D839FB" w14:textId="77777777" w:rsidR="005E6A24" w:rsidRPr="003175DE" w:rsidRDefault="005E6A24">
      <w:pPr>
        <w:pStyle w:val="Textodenotaderodap"/>
        <w:rPr>
          <w:sz w:val="20"/>
          <w:szCs w:val="20"/>
        </w:rPr>
      </w:pPr>
      <w:r w:rsidRPr="003175DE">
        <w:rPr>
          <w:rStyle w:val="Refdenotaderodap"/>
          <w:sz w:val="20"/>
          <w:szCs w:val="20"/>
        </w:rPr>
        <w:footnoteRef/>
      </w:r>
      <w:r>
        <w:rPr>
          <w:sz w:val="20"/>
          <w:szCs w:val="20"/>
        </w:rPr>
        <w:t xml:space="preserve"> Este processo é narrado com maestria (e com a introdução de outros aspectos e dimensões para os quais não podemos atentar aqui por falta de espaço) por André Singer em um trabalho recente cuja leitura recomendamos sobremaneira (Singer, 2015).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9AAB07" w14:textId="77777777" w:rsidR="005E6A24" w:rsidRDefault="005E6A24">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9"/>
  <w:proofState w:spelling="clean" w:grammar="clean"/>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37C7"/>
    <w:rsid w:val="00005227"/>
    <w:rsid w:val="00010BE6"/>
    <w:rsid w:val="00017994"/>
    <w:rsid w:val="00017AB5"/>
    <w:rsid w:val="00023F27"/>
    <w:rsid w:val="000271A6"/>
    <w:rsid w:val="000271F4"/>
    <w:rsid w:val="00027656"/>
    <w:rsid w:val="0003028A"/>
    <w:rsid w:val="00041A5A"/>
    <w:rsid w:val="00043BD7"/>
    <w:rsid w:val="00045421"/>
    <w:rsid w:val="000455A3"/>
    <w:rsid w:val="00045661"/>
    <w:rsid w:val="000463DE"/>
    <w:rsid w:val="0005168E"/>
    <w:rsid w:val="00051800"/>
    <w:rsid w:val="000528C5"/>
    <w:rsid w:val="00052940"/>
    <w:rsid w:val="00052D51"/>
    <w:rsid w:val="00053638"/>
    <w:rsid w:val="00056A7A"/>
    <w:rsid w:val="000602C7"/>
    <w:rsid w:val="000619F9"/>
    <w:rsid w:val="0006473E"/>
    <w:rsid w:val="00067B90"/>
    <w:rsid w:val="000702BF"/>
    <w:rsid w:val="00070D40"/>
    <w:rsid w:val="00071B2B"/>
    <w:rsid w:val="00074494"/>
    <w:rsid w:val="000757C9"/>
    <w:rsid w:val="00082416"/>
    <w:rsid w:val="00096380"/>
    <w:rsid w:val="00096BA9"/>
    <w:rsid w:val="000A0567"/>
    <w:rsid w:val="000A306A"/>
    <w:rsid w:val="000A44F0"/>
    <w:rsid w:val="000B5648"/>
    <w:rsid w:val="000C2FDD"/>
    <w:rsid w:val="000C447D"/>
    <w:rsid w:val="000C60FE"/>
    <w:rsid w:val="000D1E82"/>
    <w:rsid w:val="000D4704"/>
    <w:rsid w:val="000D4D3C"/>
    <w:rsid w:val="000D601C"/>
    <w:rsid w:val="000E00C6"/>
    <w:rsid w:val="000E5B83"/>
    <w:rsid w:val="000E75C7"/>
    <w:rsid w:val="000F012B"/>
    <w:rsid w:val="000F4BD6"/>
    <w:rsid w:val="000F4C60"/>
    <w:rsid w:val="000F6287"/>
    <w:rsid w:val="001048C8"/>
    <w:rsid w:val="001078C0"/>
    <w:rsid w:val="00110F80"/>
    <w:rsid w:val="0011297D"/>
    <w:rsid w:val="00112A97"/>
    <w:rsid w:val="0011481F"/>
    <w:rsid w:val="00114E76"/>
    <w:rsid w:val="00117954"/>
    <w:rsid w:val="00122F66"/>
    <w:rsid w:val="001308F1"/>
    <w:rsid w:val="0013202B"/>
    <w:rsid w:val="001342A6"/>
    <w:rsid w:val="00140354"/>
    <w:rsid w:val="00145519"/>
    <w:rsid w:val="00151EF7"/>
    <w:rsid w:val="00152327"/>
    <w:rsid w:val="00156D57"/>
    <w:rsid w:val="00160175"/>
    <w:rsid w:val="001605A6"/>
    <w:rsid w:val="0016263C"/>
    <w:rsid w:val="0016298E"/>
    <w:rsid w:val="001636C6"/>
    <w:rsid w:val="00166937"/>
    <w:rsid w:val="00166CD8"/>
    <w:rsid w:val="00174CF9"/>
    <w:rsid w:val="0017717C"/>
    <w:rsid w:val="00182951"/>
    <w:rsid w:val="00182DEC"/>
    <w:rsid w:val="00186C14"/>
    <w:rsid w:val="00187437"/>
    <w:rsid w:val="00187DA1"/>
    <w:rsid w:val="001914F5"/>
    <w:rsid w:val="0019571C"/>
    <w:rsid w:val="00197496"/>
    <w:rsid w:val="001A0456"/>
    <w:rsid w:val="001A05B3"/>
    <w:rsid w:val="001A2AB8"/>
    <w:rsid w:val="001A4EC1"/>
    <w:rsid w:val="001B0E52"/>
    <w:rsid w:val="001B1BAB"/>
    <w:rsid w:val="001B3726"/>
    <w:rsid w:val="001C0A5C"/>
    <w:rsid w:val="001C2F08"/>
    <w:rsid w:val="001C30C3"/>
    <w:rsid w:val="001C3B1F"/>
    <w:rsid w:val="001C442B"/>
    <w:rsid w:val="001C4D2A"/>
    <w:rsid w:val="001D16AA"/>
    <w:rsid w:val="001E0CAC"/>
    <w:rsid w:val="001E1FD6"/>
    <w:rsid w:val="001E37C7"/>
    <w:rsid w:val="001E75AA"/>
    <w:rsid w:val="001F0579"/>
    <w:rsid w:val="001F128D"/>
    <w:rsid w:val="001F1B7E"/>
    <w:rsid w:val="001F4731"/>
    <w:rsid w:val="001F70D4"/>
    <w:rsid w:val="001F74EB"/>
    <w:rsid w:val="001F775A"/>
    <w:rsid w:val="001F7B89"/>
    <w:rsid w:val="00211648"/>
    <w:rsid w:val="002213D7"/>
    <w:rsid w:val="0022172B"/>
    <w:rsid w:val="00224AC9"/>
    <w:rsid w:val="00224D57"/>
    <w:rsid w:val="00225107"/>
    <w:rsid w:val="002301C0"/>
    <w:rsid w:val="00233229"/>
    <w:rsid w:val="00234D19"/>
    <w:rsid w:val="0023525E"/>
    <w:rsid w:val="002372E2"/>
    <w:rsid w:val="0024064B"/>
    <w:rsid w:val="00245EDE"/>
    <w:rsid w:val="00246B2E"/>
    <w:rsid w:val="00246E28"/>
    <w:rsid w:val="00247516"/>
    <w:rsid w:val="00247CCD"/>
    <w:rsid w:val="00250413"/>
    <w:rsid w:val="002516A8"/>
    <w:rsid w:val="00252B64"/>
    <w:rsid w:val="002537C1"/>
    <w:rsid w:val="00261722"/>
    <w:rsid w:val="00261FD6"/>
    <w:rsid w:val="0026458A"/>
    <w:rsid w:val="00270198"/>
    <w:rsid w:val="00272D58"/>
    <w:rsid w:val="0027480F"/>
    <w:rsid w:val="002765FB"/>
    <w:rsid w:val="002813D0"/>
    <w:rsid w:val="00282096"/>
    <w:rsid w:val="002840F5"/>
    <w:rsid w:val="0028487F"/>
    <w:rsid w:val="00285170"/>
    <w:rsid w:val="00285CA1"/>
    <w:rsid w:val="002951E2"/>
    <w:rsid w:val="0029526C"/>
    <w:rsid w:val="00295520"/>
    <w:rsid w:val="002B169E"/>
    <w:rsid w:val="002B1CA4"/>
    <w:rsid w:val="002B1E00"/>
    <w:rsid w:val="002C0526"/>
    <w:rsid w:val="002C0BE1"/>
    <w:rsid w:val="002C0E7A"/>
    <w:rsid w:val="002C28D1"/>
    <w:rsid w:val="002C2EB8"/>
    <w:rsid w:val="002C3FE6"/>
    <w:rsid w:val="002C6AC2"/>
    <w:rsid w:val="002D1124"/>
    <w:rsid w:val="002D1344"/>
    <w:rsid w:val="002D28A7"/>
    <w:rsid w:val="002D2D3D"/>
    <w:rsid w:val="002D3FDD"/>
    <w:rsid w:val="002D62EF"/>
    <w:rsid w:val="002E0E3D"/>
    <w:rsid w:val="002E1D12"/>
    <w:rsid w:val="002E26C4"/>
    <w:rsid w:val="002E4C79"/>
    <w:rsid w:val="002E5E3B"/>
    <w:rsid w:val="002E633E"/>
    <w:rsid w:val="002F2D5F"/>
    <w:rsid w:val="002F3206"/>
    <w:rsid w:val="002F3662"/>
    <w:rsid w:val="002F3A72"/>
    <w:rsid w:val="002F6D13"/>
    <w:rsid w:val="00301280"/>
    <w:rsid w:val="00302A34"/>
    <w:rsid w:val="003104F6"/>
    <w:rsid w:val="00310B39"/>
    <w:rsid w:val="00312AA0"/>
    <w:rsid w:val="00312F23"/>
    <w:rsid w:val="00313753"/>
    <w:rsid w:val="003145DE"/>
    <w:rsid w:val="00314D4C"/>
    <w:rsid w:val="003175DE"/>
    <w:rsid w:val="0031772C"/>
    <w:rsid w:val="00317A0B"/>
    <w:rsid w:val="00317BB7"/>
    <w:rsid w:val="0032348E"/>
    <w:rsid w:val="00323E29"/>
    <w:rsid w:val="00324C4A"/>
    <w:rsid w:val="00324F0E"/>
    <w:rsid w:val="003276DC"/>
    <w:rsid w:val="00330A48"/>
    <w:rsid w:val="00337AD8"/>
    <w:rsid w:val="00340941"/>
    <w:rsid w:val="00347348"/>
    <w:rsid w:val="00351376"/>
    <w:rsid w:val="003542A3"/>
    <w:rsid w:val="003543BC"/>
    <w:rsid w:val="003547FE"/>
    <w:rsid w:val="00355205"/>
    <w:rsid w:val="0035671D"/>
    <w:rsid w:val="003650A0"/>
    <w:rsid w:val="00366568"/>
    <w:rsid w:val="00366F48"/>
    <w:rsid w:val="00373094"/>
    <w:rsid w:val="003779A9"/>
    <w:rsid w:val="003847F7"/>
    <w:rsid w:val="00387FD0"/>
    <w:rsid w:val="00390A25"/>
    <w:rsid w:val="00397F32"/>
    <w:rsid w:val="003A198C"/>
    <w:rsid w:val="003A20B7"/>
    <w:rsid w:val="003A5859"/>
    <w:rsid w:val="003A7679"/>
    <w:rsid w:val="003B2DEC"/>
    <w:rsid w:val="003B46FD"/>
    <w:rsid w:val="003B4C3C"/>
    <w:rsid w:val="003B6498"/>
    <w:rsid w:val="003B7CB5"/>
    <w:rsid w:val="003C048D"/>
    <w:rsid w:val="003C291C"/>
    <w:rsid w:val="003C6E3D"/>
    <w:rsid w:val="003D12E4"/>
    <w:rsid w:val="003D281C"/>
    <w:rsid w:val="003D361F"/>
    <w:rsid w:val="003D5A2F"/>
    <w:rsid w:val="003D6060"/>
    <w:rsid w:val="003E132C"/>
    <w:rsid w:val="003E4286"/>
    <w:rsid w:val="003F44B8"/>
    <w:rsid w:val="0040162F"/>
    <w:rsid w:val="00402BA6"/>
    <w:rsid w:val="004030FF"/>
    <w:rsid w:val="0040631D"/>
    <w:rsid w:val="00412077"/>
    <w:rsid w:val="0041431A"/>
    <w:rsid w:val="00414864"/>
    <w:rsid w:val="00416641"/>
    <w:rsid w:val="0042004E"/>
    <w:rsid w:val="004211BA"/>
    <w:rsid w:val="00423706"/>
    <w:rsid w:val="00424198"/>
    <w:rsid w:val="00424683"/>
    <w:rsid w:val="00431658"/>
    <w:rsid w:val="00436987"/>
    <w:rsid w:val="004405BE"/>
    <w:rsid w:val="0044254F"/>
    <w:rsid w:val="00446322"/>
    <w:rsid w:val="00450219"/>
    <w:rsid w:val="004508A1"/>
    <w:rsid w:val="00456411"/>
    <w:rsid w:val="00457E25"/>
    <w:rsid w:val="004640F9"/>
    <w:rsid w:val="00466929"/>
    <w:rsid w:val="00480BD7"/>
    <w:rsid w:val="00481683"/>
    <w:rsid w:val="0048280D"/>
    <w:rsid w:val="00482D8D"/>
    <w:rsid w:val="00493457"/>
    <w:rsid w:val="00493BBE"/>
    <w:rsid w:val="004A052C"/>
    <w:rsid w:val="004A774D"/>
    <w:rsid w:val="004A7C60"/>
    <w:rsid w:val="004B03AA"/>
    <w:rsid w:val="004B193D"/>
    <w:rsid w:val="004B5FFB"/>
    <w:rsid w:val="004B7DF1"/>
    <w:rsid w:val="004C067E"/>
    <w:rsid w:val="004C6E45"/>
    <w:rsid w:val="004D165F"/>
    <w:rsid w:val="004D700A"/>
    <w:rsid w:val="004D7F44"/>
    <w:rsid w:val="004E29AE"/>
    <w:rsid w:val="004E43F4"/>
    <w:rsid w:val="004E518F"/>
    <w:rsid w:val="004E5471"/>
    <w:rsid w:val="004F2588"/>
    <w:rsid w:val="004F33A4"/>
    <w:rsid w:val="004F7D57"/>
    <w:rsid w:val="00500469"/>
    <w:rsid w:val="00501F8A"/>
    <w:rsid w:val="00502326"/>
    <w:rsid w:val="0050357A"/>
    <w:rsid w:val="00512C99"/>
    <w:rsid w:val="00524B0C"/>
    <w:rsid w:val="00533AFE"/>
    <w:rsid w:val="00540949"/>
    <w:rsid w:val="00540DA0"/>
    <w:rsid w:val="005413BB"/>
    <w:rsid w:val="00541773"/>
    <w:rsid w:val="00543B80"/>
    <w:rsid w:val="0054778C"/>
    <w:rsid w:val="00553D98"/>
    <w:rsid w:val="00555B82"/>
    <w:rsid w:val="00561271"/>
    <w:rsid w:val="005629CF"/>
    <w:rsid w:val="00564A96"/>
    <w:rsid w:val="00567284"/>
    <w:rsid w:val="005735F2"/>
    <w:rsid w:val="00581236"/>
    <w:rsid w:val="00584162"/>
    <w:rsid w:val="005841D1"/>
    <w:rsid w:val="00586A4C"/>
    <w:rsid w:val="00586A54"/>
    <w:rsid w:val="0059032A"/>
    <w:rsid w:val="005916E8"/>
    <w:rsid w:val="00592122"/>
    <w:rsid w:val="005924AB"/>
    <w:rsid w:val="005924D7"/>
    <w:rsid w:val="005925C1"/>
    <w:rsid w:val="00592FD4"/>
    <w:rsid w:val="005A45FF"/>
    <w:rsid w:val="005A554D"/>
    <w:rsid w:val="005B0845"/>
    <w:rsid w:val="005B59AB"/>
    <w:rsid w:val="005B6BD7"/>
    <w:rsid w:val="005B718A"/>
    <w:rsid w:val="005B7857"/>
    <w:rsid w:val="005C31F0"/>
    <w:rsid w:val="005C6A34"/>
    <w:rsid w:val="005D090B"/>
    <w:rsid w:val="005D14A7"/>
    <w:rsid w:val="005D4F16"/>
    <w:rsid w:val="005D52DF"/>
    <w:rsid w:val="005D6488"/>
    <w:rsid w:val="005D670A"/>
    <w:rsid w:val="005E189C"/>
    <w:rsid w:val="005E32EE"/>
    <w:rsid w:val="005E6A24"/>
    <w:rsid w:val="005F2DA5"/>
    <w:rsid w:val="005F32E8"/>
    <w:rsid w:val="005F4AE3"/>
    <w:rsid w:val="0060044A"/>
    <w:rsid w:val="00604258"/>
    <w:rsid w:val="00606047"/>
    <w:rsid w:val="00611FD3"/>
    <w:rsid w:val="00612A98"/>
    <w:rsid w:val="0061354C"/>
    <w:rsid w:val="00613736"/>
    <w:rsid w:val="00613E6F"/>
    <w:rsid w:val="006148D3"/>
    <w:rsid w:val="006237B8"/>
    <w:rsid w:val="00630606"/>
    <w:rsid w:val="006322EB"/>
    <w:rsid w:val="006371A0"/>
    <w:rsid w:val="00640492"/>
    <w:rsid w:val="00644CA6"/>
    <w:rsid w:val="006509A3"/>
    <w:rsid w:val="00651B21"/>
    <w:rsid w:val="00651CEE"/>
    <w:rsid w:val="00654C65"/>
    <w:rsid w:val="00655AA6"/>
    <w:rsid w:val="00655BFA"/>
    <w:rsid w:val="00657413"/>
    <w:rsid w:val="006644CD"/>
    <w:rsid w:val="00667494"/>
    <w:rsid w:val="0067003A"/>
    <w:rsid w:val="00676DEF"/>
    <w:rsid w:val="00692BC3"/>
    <w:rsid w:val="0069320D"/>
    <w:rsid w:val="00693532"/>
    <w:rsid w:val="0069489E"/>
    <w:rsid w:val="0069679F"/>
    <w:rsid w:val="00696DA0"/>
    <w:rsid w:val="006A03EE"/>
    <w:rsid w:val="006A0F51"/>
    <w:rsid w:val="006A2E78"/>
    <w:rsid w:val="006A51E9"/>
    <w:rsid w:val="006B485B"/>
    <w:rsid w:val="006C0A13"/>
    <w:rsid w:val="006C1A7F"/>
    <w:rsid w:val="006C1F3F"/>
    <w:rsid w:val="006C2DC8"/>
    <w:rsid w:val="006C3208"/>
    <w:rsid w:val="006C3611"/>
    <w:rsid w:val="006D0F45"/>
    <w:rsid w:val="006D2AED"/>
    <w:rsid w:val="006D2FA9"/>
    <w:rsid w:val="006D49CF"/>
    <w:rsid w:val="006D4DFE"/>
    <w:rsid w:val="006D59A7"/>
    <w:rsid w:val="006E18A9"/>
    <w:rsid w:val="006E7C4A"/>
    <w:rsid w:val="006F1028"/>
    <w:rsid w:val="006F520A"/>
    <w:rsid w:val="006F5AE1"/>
    <w:rsid w:val="006F7199"/>
    <w:rsid w:val="0070594F"/>
    <w:rsid w:val="00706071"/>
    <w:rsid w:val="0071033B"/>
    <w:rsid w:val="00710CC4"/>
    <w:rsid w:val="00713495"/>
    <w:rsid w:val="00717122"/>
    <w:rsid w:val="0073019B"/>
    <w:rsid w:val="00730E02"/>
    <w:rsid w:val="00731978"/>
    <w:rsid w:val="00731BCA"/>
    <w:rsid w:val="00731EF4"/>
    <w:rsid w:val="007400EA"/>
    <w:rsid w:val="007422D4"/>
    <w:rsid w:val="007460C5"/>
    <w:rsid w:val="0075181D"/>
    <w:rsid w:val="0075563E"/>
    <w:rsid w:val="00756845"/>
    <w:rsid w:val="00760B36"/>
    <w:rsid w:val="0076268C"/>
    <w:rsid w:val="00766248"/>
    <w:rsid w:val="00772AB7"/>
    <w:rsid w:val="0077738B"/>
    <w:rsid w:val="00780217"/>
    <w:rsid w:val="0078251A"/>
    <w:rsid w:val="0078272C"/>
    <w:rsid w:val="00787438"/>
    <w:rsid w:val="00793714"/>
    <w:rsid w:val="007A04D6"/>
    <w:rsid w:val="007A15F3"/>
    <w:rsid w:val="007A58E0"/>
    <w:rsid w:val="007A67FE"/>
    <w:rsid w:val="007B38AE"/>
    <w:rsid w:val="007B53FC"/>
    <w:rsid w:val="007B5BBD"/>
    <w:rsid w:val="007B6C5B"/>
    <w:rsid w:val="007C3397"/>
    <w:rsid w:val="007C4D64"/>
    <w:rsid w:val="007C4F25"/>
    <w:rsid w:val="007C65D6"/>
    <w:rsid w:val="007D03B2"/>
    <w:rsid w:val="007D082E"/>
    <w:rsid w:val="007D34AB"/>
    <w:rsid w:val="007D38CE"/>
    <w:rsid w:val="007D4351"/>
    <w:rsid w:val="007D5712"/>
    <w:rsid w:val="007D5C2C"/>
    <w:rsid w:val="007E02E9"/>
    <w:rsid w:val="007E361B"/>
    <w:rsid w:val="007E3CB3"/>
    <w:rsid w:val="007F2363"/>
    <w:rsid w:val="007F609C"/>
    <w:rsid w:val="007F798B"/>
    <w:rsid w:val="0080052E"/>
    <w:rsid w:val="0080677E"/>
    <w:rsid w:val="0081690C"/>
    <w:rsid w:val="00817943"/>
    <w:rsid w:val="00820873"/>
    <w:rsid w:val="00821D7D"/>
    <w:rsid w:val="0083103C"/>
    <w:rsid w:val="00831859"/>
    <w:rsid w:val="008328F6"/>
    <w:rsid w:val="008358FE"/>
    <w:rsid w:val="00840D80"/>
    <w:rsid w:val="00844561"/>
    <w:rsid w:val="00845E68"/>
    <w:rsid w:val="008464FC"/>
    <w:rsid w:val="00854198"/>
    <w:rsid w:val="008619B6"/>
    <w:rsid w:val="008622F6"/>
    <w:rsid w:val="00871BDB"/>
    <w:rsid w:val="008734B2"/>
    <w:rsid w:val="00876106"/>
    <w:rsid w:val="008812DA"/>
    <w:rsid w:val="00882ED5"/>
    <w:rsid w:val="00891418"/>
    <w:rsid w:val="00894C34"/>
    <w:rsid w:val="00894EA1"/>
    <w:rsid w:val="008A05F4"/>
    <w:rsid w:val="008A104A"/>
    <w:rsid w:val="008A11ED"/>
    <w:rsid w:val="008A1ACB"/>
    <w:rsid w:val="008A32E2"/>
    <w:rsid w:val="008A3C33"/>
    <w:rsid w:val="008A5A97"/>
    <w:rsid w:val="008A66EA"/>
    <w:rsid w:val="008A6EF4"/>
    <w:rsid w:val="008C074A"/>
    <w:rsid w:val="008C2763"/>
    <w:rsid w:val="008C6640"/>
    <w:rsid w:val="008C6FBF"/>
    <w:rsid w:val="008D008A"/>
    <w:rsid w:val="008D221A"/>
    <w:rsid w:val="008E03F2"/>
    <w:rsid w:val="008E5AA8"/>
    <w:rsid w:val="008E5E79"/>
    <w:rsid w:val="008F13B7"/>
    <w:rsid w:val="0090052B"/>
    <w:rsid w:val="00901193"/>
    <w:rsid w:val="0090170D"/>
    <w:rsid w:val="0090497F"/>
    <w:rsid w:val="009058B5"/>
    <w:rsid w:val="00915752"/>
    <w:rsid w:val="009201D7"/>
    <w:rsid w:val="00921D77"/>
    <w:rsid w:val="009306E8"/>
    <w:rsid w:val="00931A41"/>
    <w:rsid w:val="009360C7"/>
    <w:rsid w:val="009418A3"/>
    <w:rsid w:val="00941EC3"/>
    <w:rsid w:val="00943303"/>
    <w:rsid w:val="0095211B"/>
    <w:rsid w:val="00952B34"/>
    <w:rsid w:val="0095456D"/>
    <w:rsid w:val="00956669"/>
    <w:rsid w:val="00956AD6"/>
    <w:rsid w:val="009577A8"/>
    <w:rsid w:val="00960D7B"/>
    <w:rsid w:val="00964090"/>
    <w:rsid w:val="009703D7"/>
    <w:rsid w:val="00991778"/>
    <w:rsid w:val="009A01A1"/>
    <w:rsid w:val="009B595E"/>
    <w:rsid w:val="009C0C4E"/>
    <w:rsid w:val="009C2233"/>
    <w:rsid w:val="009C7D44"/>
    <w:rsid w:val="009D0109"/>
    <w:rsid w:val="009D1557"/>
    <w:rsid w:val="009E28E8"/>
    <w:rsid w:val="009F0C90"/>
    <w:rsid w:val="009F415E"/>
    <w:rsid w:val="009F5B50"/>
    <w:rsid w:val="009F6559"/>
    <w:rsid w:val="009F7940"/>
    <w:rsid w:val="00A000EA"/>
    <w:rsid w:val="00A0115E"/>
    <w:rsid w:val="00A10A62"/>
    <w:rsid w:val="00A14D5A"/>
    <w:rsid w:val="00A225EE"/>
    <w:rsid w:val="00A25AFE"/>
    <w:rsid w:val="00A30A04"/>
    <w:rsid w:val="00A3135C"/>
    <w:rsid w:val="00A33779"/>
    <w:rsid w:val="00A4365D"/>
    <w:rsid w:val="00A44215"/>
    <w:rsid w:val="00A44CE3"/>
    <w:rsid w:val="00A554EC"/>
    <w:rsid w:val="00A557E9"/>
    <w:rsid w:val="00A55AA9"/>
    <w:rsid w:val="00A66913"/>
    <w:rsid w:val="00A75E36"/>
    <w:rsid w:val="00A83FA1"/>
    <w:rsid w:val="00A85772"/>
    <w:rsid w:val="00A87B4E"/>
    <w:rsid w:val="00A925F5"/>
    <w:rsid w:val="00A92605"/>
    <w:rsid w:val="00A951B1"/>
    <w:rsid w:val="00A96023"/>
    <w:rsid w:val="00AA0CED"/>
    <w:rsid w:val="00AA7428"/>
    <w:rsid w:val="00AC093D"/>
    <w:rsid w:val="00AC53B1"/>
    <w:rsid w:val="00AC6AC0"/>
    <w:rsid w:val="00AD1A39"/>
    <w:rsid w:val="00AD350B"/>
    <w:rsid w:val="00AD4AE6"/>
    <w:rsid w:val="00AE288F"/>
    <w:rsid w:val="00AE289F"/>
    <w:rsid w:val="00AE2BAE"/>
    <w:rsid w:val="00AE3D8C"/>
    <w:rsid w:val="00AE41E2"/>
    <w:rsid w:val="00AE4CF0"/>
    <w:rsid w:val="00AE533B"/>
    <w:rsid w:val="00AF03F7"/>
    <w:rsid w:val="00AF3C5E"/>
    <w:rsid w:val="00AF5051"/>
    <w:rsid w:val="00B0419D"/>
    <w:rsid w:val="00B0425B"/>
    <w:rsid w:val="00B120C7"/>
    <w:rsid w:val="00B1580A"/>
    <w:rsid w:val="00B16D51"/>
    <w:rsid w:val="00B16E5E"/>
    <w:rsid w:val="00B219C0"/>
    <w:rsid w:val="00B228D2"/>
    <w:rsid w:val="00B23AF4"/>
    <w:rsid w:val="00B267E6"/>
    <w:rsid w:val="00B30DA3"/>
    <w:rsid w:val="00B34F88"/>
    <w:rsid w:val="00B37598"/>
    <w:rsid w:val="00B40EB4"/>
    <w:rsid w:val="00B40F51"/>
    <w:rsid w:val="00B4150A"/>
    <w:rsid w:val="00B416C6"/>
    <w:rsid w:val="00B42735"/>
    <w:rsid w:val="00B43E35"/>
    <w:rsid w:val="00B46961"/>
    <w:rsid w:val="00B50865"/>
    <w:rsid w:val="00B50963"/>
    <w:rsid w:val="00B54644"/>
    <w:rsid w:val="00B573C9"/>
    <w:rsid w:val="00B61FC5"/>
    <w:rsid w:val="00B658A9"/>
    <w:rsid w:val="00B6624C"/>
    <w:rsid w:val="00B7212B"/>
    <w:rsid w:val="00B728A3"/>
    <w:rsid w:val="00B802E9"/>
    <w:rsid w:val="00B87102"/>
    <w:rsid w:val="00B92E31"/>
    <w:rsid w:val="00B93F3C"/>
    <w:rsid w:val="00BA75D6"/>
    <w:rsid w:val="00BB2B82"/>
    <w:rsid w:val="00BB6755"/>
    <w:rsid w:val="00BB7DF3"/>
    <w:rsid w:val="00BC0134"/>
    <w:rsid w:val="00BC1A7A"/>
    <w:rsid w:val="00BC292E"/>
    <w:rsid w:val="00BC4B53"/>
    <w:rsid w:val="00BC7B2C"/>
    <w:rsid w:val="00BC7B36"/>
    <w:rsid w:val="00BD002D"/>
    <w:rsid w:val="00BD0FE5"/>
    <w:rsid w:val="00BD1706"/>
    <w:rsid w:val="00BD1CCF"/>
    <w:rsid w:val="00BD31AD"/>
    <w:rsid w:val="00BE0816"/>
    <w:rsid w:val="00BE100A"/>
    <w:rsid w:val="00BE1347"/>
    <w:rsid w:val="00BE5117"/>
    <w:rsid w:val="00BE522A"/>
    <w:rsid w:val="00BF1A25"/>
    <w:rsid w:val="00BF582A"/>
    <w:rsid w:val="00BF6A61"/>
    <w:rsid w:val="00BF6F56"/>
    <w:rsid w:val="00BF7C7D"/>
    <w:rsid w:val="00C000AD"/>
    <w:rsid w:val="00C06C35"/>
    <w:rsid w:val="00C13DB2"/>
    <w:rsid w:val="00C16276"/>
    <w:rsid w:val="00C2195B"/>
    <w:rsid w:val="00C22210"/>
    <w:rsid w:val="00C22ACF"/>
    <w:rsid w:val="00C3488A"/>
    <w:rsid w:val="00C4338C"/>
    <w:rsid w:val="00C5016A"/>
    <w:rsid w:val="00C528A7"/>
    <w:rsid w:val="00C55F24"/>
    <w:rsid w:val="00C5757F"/>
    <w:rsid w:val="00C60757"/>
    <w:rsid w:val="00C64F1A"/>
    <w:rsid w:val="00C7347B"/>
    <w:rsid w:val="00C73903"/>
    <w:rsid w:val="00C74A98"/>
    <w:rsid w:val="00C74C2F"/>
    <w:rsid w:val="00C85A67"/>
    <w:rsid w:val="00C87B60"/>
    <w:rsid w:val="00C87D40"/>
    <w:rsid w:val="00C91736"/>
    <w:rsid w:val="00CA00A8"/>
    <w:rsid w:val="00CA29F9"/>
    <w:rsid w:val="00CA3A5E"/>
    <w:rsid w:val="00CA6D5B"/>
    <w:rsid w:val="00CB05C8"/>
    <w:rsid w:val="00CB2071"/>
    <w:rsid w:val="00CB2774"/>
    <w:rsid w:val="00CC55A4"/>
    <w:rsid w:val="00CC70C2"/>
    <w:rsid w:val="00CD3B46"/>
    <w:rsid w:val="00CE0583"/>
    <w:rsid w:val="00CE5FF4"/>
    <w:rsid w:val="00CF1E59"/>
    <w:rsid w:val="00CF1F2C"/>
    <w:rsid w:val="00CF23CA"/>
    <w:rsid w:val="00CF3E68"/>
    <w:rsid w:val="00CF6E73"/>
    <w:rsid w:val="00D00E30"/>
    <w:rsid w:val="00D01948"/>
    <w:rsid w:val="00D02780"/>
    <w:rsid w:val="00D04BE1"/>
    <w:rsid w:val="00D04F32"/>
    <w:rsid w:val="00D05CDD"/>
    <w:rsid w:val="00D076F6"/>
    <w:rsid w:val="00D11067"/>
    <w:rsid w:val="00D11FD1"/>
    <w:rsid w:val="00D12847"/>
    <w:rsid w:val="00D135D8"/>
    <w:rsid w:val="00D156BB"/>
    <w:rsid w:val="00D21BDB"/>
    <w:rsid w:val="00D250AC"/>
    <w:rsid w:val="00D26D76"/>
    <w:rsid w:val="00D315E2"/>
    <w:rsid w:val="00D32CB6"/>
    <w:rsid w:val="00D331AC"/>
    <w:rsid w:val="00D34468"/>
    <w:rsid w:val="00D34723"/>
    <w:rsid w:val="00D375EF"/>
    <w:rsid w:val="00D43043"/>
    <w:rsid w:val="00D501A7"/>
    <w:rsid w:val="00D54C43"/>
    <w:rsid w:val="00D5610C"/>
    <w:rsid w:val="00D6058D"/>
    <w:rsid w:val="00D67369"/>
    <w:rsid w:val="00D72817"/>
    <w:rsid w:val="00D72B08"/>
    <w:rsid w:val="00D73BD1"/>
    <w:rsid w:val="00D74188"/>
    <w:rsid w:val="00D760E9"/>
    <w:rsid w:val="00D837E2"/>
    <w:rsid w:val="00D8727F"/>
    <w:rsid w:val="00D90225"/>
    <w:rsid w:val="00D90E28"/>
    <w:rsid w:val="00D91265"/>
    <w:rsid w:val="00D92323"/>
    <w:rsid w:val="00D948DB"/>
    <w:rsid w:val="00DA43AA"/>
    <w:rsid w:val="00DA4F48"/>
    <w:rsid w:val="00DB0DC7"/>
    <w:rsid w:val="00DB551A"/>
    <w:rsid w:val="00DC314D"/>
    <w:rsid w:val="00DC5237"/>
    <w:rsid w:val="00DD0121"/>
    <w:rsid w:val="00DD5B03"/>
    <w:rsid w:val="00DD7356"/>
    <w:rsid w:val="00DE1C8C"/>
    <w:rsid w:val="00DE4174"/>
    <w:rsid w:val="00DE4B7B"/>
    <w:rsid w:val="00DF6CE6"/>
    <w:rsid w:val="00DF73A9"/>
    <w:rsid w:val="00E03B1D"/>
    <w:rsid w:val="00E06DFE"/>
    <w:rsid w:val="00E1257B"/>
    <w:rsid w:val="00E1366B"/>
    <w:rsid w:val="00E14A0D"/>
    <w:rsid w:val="00E15AD4"/>
    <w:rsid w:val="00E16FA7"/>
    <w:rsid w:val="00E2038D"/>
    <w:rsid w:val="00E25E70"/>
    <w:rsid w:val="00E30F71"/>
    <w:rsid w:val="00E318CD"/>
    <w:rsid w:val="00E32464"/>
    <w:rsid w:val="00E34DDB"/>
    <w:rsid w:val="00E36874"/>
    <w:rsid w:val="00E46F26"/>
    <w:rsid w:val="00E50CB5"/>
    <w:rsid w:val="00E576BF"/>
    <w:rsid w:val="00E63281"/>
    <w:rsid w:val="00E666AF"/>
    <w:rsid w:val="00E67C0D"/>
    <w:rsid w:val="00E71B38"/>
    <w:rsid w:val="00E74C3B"/>
    <w:rsid w:val="00E813F6"/>
    <w:rsid w:val="00E87AD9"/>
    <w:rsid w:val="00E92642"/>
    <w:rsid w:val="00E94219"/>
    <w:rsid w:val="00E96747"/>
    <w:rsid w:val="00E96D7D"/>
    <w:rsid w:val="00E973AB"/>
    <w:rsid w:val="00EA05C1"/>
    <w:rsid w:val="00EA0EF2"/>
    <w:rsid w:val="00EA2642"/>
    <w:rsid w:val="00EA3BD4"/>
    <w:rsid w:val="00EA4CFA"/>
    <w:rsid w:val="00EB058B"/>
    <w:rsid w:val="00EC51AA"/>
    <w:rsid w:val="00EC7B9A"/>
    <w:rsid w:val="00ED18E1"/>
    <w:rsid w:val="00ED3CC0"/>
    <w:rsid w:val="00ED413D"/>
    <w:rsid w:val="00ED5EC2"/>
    <w:rsid w:val="00EE223A"/>
    <w:rsid w:val="00EE2A40"/>
    <w:rsid w:val="00EE4678"/>
    <w:rsid w:val="00EE6D68"/>
    <w:rsid w:val="00EF00CA"/>
    <w:rsid w:val="00EF3EEA"/>
    <w:rsid w:val="00EF499D"/>
    <w:rsid w:val="00EF79BA"/>
    <w:rsid w:val="00F03779"/>
    <w:rsid w:val="00F13FF7"/>
    <w:rsid w:val="00F175AB"/>
    <w:rsid w:val="00F264A3"/>
    <w:rsid w:val="00F3190F"/>
    <w:rsid w:val="00F32FF1"/>
    <w:rsid w:val="00F33FAA"/>
    <w:rsid w:val="00F34533"/>
    <w:rsid w:val="00F346B9"/>
    <w:rsid w:val="00F36A2A"/>
    <w:rsid w:val="00F42907"/>
    <w:rsid w:val="00F437BD"/>
    <w:rsid w:val="00F46E6C"/>
    <w:rsid w:val="00F533B7"/>
    <w:rsid w:val="00F56FBF"/>
    <w:rsid w:val="00F60804"/>
    <w:rsid w:val="00F625A7"/>
    <w:rsid w:val="00F625EF"/>
    <w:rsid w:val="00F632C4"/>
    <w:rsid w:val="00F809BE"/>
    <w:rsid w:val="00F8173E"/>
    <w:rsid w:val="00F81FA0"/>
    <w:rsid w:val="00F8546F"/>
    <w:rsid w:val="00F86083"/>
    <w:rsid w:val="00F956C8"/>
    <w:rsid w:val="00F96EE7"/>
    <w:rsid w:val="00F96F11"/>
    <w:rsid w:val="00F97D1A"/>
    <w:rsid w:val="00FA0B1A"/>
    <w:rsid w:val="00FA227D"/>
    <w:rsid w:val="00FA547C"/>
    <w:rsid w:val="00FC3B7F"/>
    <w:rsid w:val="00FC3FD5"/>
    <w:rsid w:val="00FC4718"/>
    <w:rsid w:val="00FC47CA"/>
    <w:rsid w:val="00FC4E5A"/>
    <w:rsid w:val="00FE14EB"/>
    <w:rsid w:val="00FF2798"/>
    <w:rsid w:val="00FF5FC0"/>
    <w:rsid w:val="00FF7AC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D58261"/>
  <w15:docId w15:val="{ADD8CF36-39C2-1443-BBB9-E519D6DBA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4F0E"/>
    <w:pPr>
      <w:spacing w:after="240" w:line="360" w:lineRule="auto"/>
      <w:jc w:val="both"/>
    </w:pPr>
    <w:rPr>
      <w:rFonts w:ascii="Times New Roman" w:hAnsi="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notaderodap">
    <w:name w:val="footnote text"/>
    <w:basedOn w:val="Normal"/>
    <w:link w:val="TextodenotaderodapChar"/>
    <w:uiPriority w:val="99"/>
    <w:unhideWhenUsed/>
    <w:rsid w:val="001F0579"/>
    <w:pPr>
      <w:spacing w:after="0" w:line="240" w:lineRule="auto"/>
    </w:pPr>
  </w:style>
  <w:style w:type="character" w:customStyle="1" w:styleId="TextodenotaderodapChar">
    <w:name w:val="Texto de nota de rodapé Char"/>
    <w:basedOn w:val="Fontepargpadro"/>
    <w:link w:val="Textodenotaderodap"/>
    <w:uiPriority w:val="99"/>
    <w:rsid w:val="001F0579"/>
    <w:rPr>
      <w:rFonts w:ascii="Times New Roman" w:hAnsi="Times New Roman"/>
    </w:rPr>
  </w:style>
  <w:style w:type="character" w:styleId="Refdenotaderodap">
    <w:name w:val="footnote reference"/>
    <w:basedOn w:val="Fontepargpadro"/>
    <w:uiPriority w:val="99"/>
    <w:unhideWhenUsed/>
    <w:rsid w:val="001F0579"/>
    <w:rPr>
      <w:vertAlign w:val="superscript"/>
    </w:rPr>
  </w:style>
  <w:style w:type="paragraph" w:styleId="Textodebalo">
    <w:name w:val="Balloon Text"/>
    <w:basedOn w:val="Normal"/>
    <w:link w:val="TextodebaloChar"/>
    <w:uiPriority w:val="99"/>
    <w:semiHidden/>
    <w:unhideWhenUsed/>
    <w:rsid w:val="003D12E4"/>
    <w:pPr>
      <w:spacing w:after="0" w:line="240" w:lineRule="auto"/>
    </w:pPr>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3D12E4"/>
    <w:rPr>
      <w:rFonts w:ascii="Lucida Grande" w:hAnsi="Lucida Grande" w:cs="Lucida Grande"/>
      <w:sz w:val="18"/>
      <w:szCs w:val="18"/>
    </w:rPr>
  </w:style>
  <w:style w:type="paragraph" w:styleId="Cabealho">
    <w:name w:val="header"/>
    <w:basedOn w:val="Normal"/>
    <w:link w:val="CabealhoChar"/>
    <w:uiPriority w:val="99"/>
    <w:unhideWhenUsed/>
    <w:rsid w:val="003650A0"/>
    <w:pPr>
      <w:tabs>
        <w:tab w:val="center" w:pos="4320"/>
        <w:tab w:val="right" w:pos="8640"/>
      </w:tabs>
      <w:spacing w:after="0" w:line="240" w:lineRule="auto"/>
    </w:pPr>
  </w:style>
  <w:style w:type="character" w:customStyle="1" w:styleId="CabealhoChar">
    <w:name w:val="Cabeçalho Char"/>
    <w:basedOn w:val="Fontepargpadro"/>
    <w:link w:val="Cabealho"/>
    <w:uiPriority w:val="99"/>
    <w:rsid w:val="003650A0"/>
    <w:rPr>
      <w:rFonts w:ascii="Times New Roman" w:hAnsi="Times New Roman"/>
    </w:rPr>
  </w:style>
  <w:style w:type="paragraph" w:styleId="Rodap">
    <w:name w:val="footer"/>
    <w:basedOn w:val="Normal"/>
    <w:link w:val="RodapChar"/>
    <w:uiPriority w:val="99"/>
    <w:unhideWhenUsed/>
    <w:rsid w:val="003650A0"/>
    <w:pPr>
      <w:tabs>
        <w:tab w:val="center" w:pos="4320"/>
        <w:tab w:val="right" w:pos="8640"/>
      </w:tabs>
      <w:spacing w:after="0" w:line="240" w:lineRule="auto"/>
    </w:pPr>
  </w:style>
  <w:style w:type="character" w:customStyle="1" w:styleId="RodapChar">
    <w:name w:val="Rodapé Char"/>
    <w:basedOn w:val="Fontepargpadro"/>
    <w:link w:val="Rodap"/>
    <w:uiPriority w:val="99"/>
    <w:rsid w:val="003650A0"/>
    <w:rPr>
      <w:rFonts w:ascii="Times New Roman" w:hAnsi="Times New Roman"/>
    </w:rPr>
  </w:style>
  <w:style w:type="character" w:styleId="Hyperlink">
    <w:name w:val="Hyperlink"/>
    <w:basedOn w:val="Fontepargpadro"/>
    <w:uiPriority w:val="99"/>
    <w:unhideWhenUsed/>
    <w:rsid w:val="005A554D"/>
    <w:rPr>
      <w:color w:val="0000FF" w:themeColor="hyperlink"/>
      <w:u w:val="single"/>
    </w:rPr>
  </w:style>
  <w:style w:type="character" w:styleId="Nmerodepgina">
    <w:name w:val="page number"/>
    <w:basedOn w:val="Fontepargpadro"/>
    <w:uiPriority w:val="99"/>
    <w:semiHidden/>
    <w:unhideWhenUsed/>
    <w:rsid w:val="003B4C3C"/>
  </w:style>
  <w:style w:type="character" w:styleId="Refdecomentrio">
    <w:name w:val="annotation reference"/>
    <w:basedOn w:val="Fontepargpadro"/>
    <w:uiPriority w:val="99"/>
    <w:semiHidden/>
    <w:unhideWhenUsed/>
    <w:rsid w:val="00197496"/>
    <w:rPr>
      <w:sz w:val="16"/>
      <w:szCs w:val="16"/>
    </w:rPr>
  </w:style>
  <w:style w:type="paragraph" w:styleId="Textodecomentrio">
    <w:name w:val="annotation text"/>
    <w:basedOn w:val="Normal"/>
    <w:link w:val="TextodecomentrioChar"/>
    <w:uiPriority w:val="99"/>
    <w:unhideWhenUsed/>
    <w:rsid w:val="007D082E"/>
    <w:pPr>
      <w:spacing w:line="240" w:lineRule="auto"/>
    </w:pPr>
    <w:rPr>
      <w:sz w:val="20"/>
      <w:szCs w:val="20"/>
    </w:rPr>
  </w:style>
  <w:style w:type="character" w:customStyle="1" w:styleId="TextodecomentrioChar">
    <w:name w:val="Texto de comentário Char"/>
    <w:basedOn w:val="Fontepargpadro"/>
    <w:link w:val="Textodecomentrio"/>
    <w:uiPriority w:val="99"/>
    <w:rsid w:val="00197496"/>
    <w:rPr>
      <w:rFonts w:ascii="Times New Roman" w:hAnsi="Times New Roman"/>
      <w:sz w:val="20"/>
      <w:szCs w:val="20"/>
    </w:rPr>
  </w:style>
  <w:style w:type="paragraph" w:styleId="Assuntodocomentrio">
    <w:name w:val="annotation subject"/>
    <w:basedOn w:val="Textodecomentrio"/>
    <w:next w:val="Textodecomentrio"/>
    <w:link w:val="AssuntodocomentrioChar"/>
    <w:uiPriority w:val="99"/>
    <w:semiHidden/>
    <w:unhideWhenUsed/>
    <w:rsid w:val="00197496"/>
    <w:rPr>
      <w:b/>
      <w:bCs/>
    </w:rPr>
  </w:style>
  <w:style w:type="character" w:customStyle="1" w:styleId="AssuntodocomentrioChar">
    <w:name w:val="Assunto do comentário Char"/>
    <w:basedOn w:val="TextodecomentrioChar"/>
    <w:link w:val="Assuntodocomentrio"/>
    <w:uiPriority w:val="99"/>
    <w:semiHidden/>
    <w:rsid w:val="00197496"/>
    <w:rPr>
      <w:rFonts w:ascii="Times New Roman" w:hAnsi="Times New Roman"/>
      <w:b/>
      <w:bCs/>
      <w:sz w:val="20"/>
      <w:szCs w:val="20"/>
    </w:rPr>
  </w:style>
  <w:style w:type="paragraph" w:customStyle="1" w:styleId="Quadros">
    <w:name w:val="Quadros"/>
    <w:basedOn w:val="Normal"/>
    <w:link w:val="QuadrosChar"/>
    <w:qFormat/>
    <w:rsid w:val="00DA43AA"/>
    <w:pPr>
      <w:spacing w:after="0" w:line="240" w:lineRule="auto"/>
      <w:jc w:val="center"/>
    </w:pPr>
    <w:rPr>
      <w:b/>
    </w:rPr>
  </w:style>
  <w:style w:type="character" w:customStyle="1" w:styleId="QuadrosChar">
    <w:name w:val="Quadros Char"/>
    <w:basedOn w:val="Fontepargpadro"/>
    <w:link w:val="Quadros"/>
    <w:rsid w:val="00DA43AA"/>
    <w:rPr>
      <w:rFonts w:ascii="Times New Roman" w:hAnsi="Times New Roman"/>
      <w:b/>
    </w:rPr>
  </w:style>
  <w:style w:type="character" w:styleId="HiperlinkVisitado">
    <w:name w:val="FollowedHyperlink"/>
    <w:basedOn w:val="Fontepargpadro"/>
    <w:uiPriority w:val="99"/>
    <w:semiHidden/>
    <w:unhideWhenUsed/>
    <w:rsid w:val="00BD1CCF"/>
    <w:rPr>
      <w:color w:val="800080" w:themeColor="followedHyperlink"/>
      <w:u w:val="single"/>
    </w:rPr>
  </w:style>
  <w:style w:type="paragraph" w:styleId="SemEspaamento">
    <w:name w:val="No Spacing"/>
    <w:uiPriority w:val="1"/>
    <w:qFormat/>
    <w:rsid w:val="007D082E"/>
    <w:pPr>
      <w:jc w:val="both"/>
    </w:pPr>
    <w:rPr>
      <w:rFonts w:ascii="Times New Roman" w:hAnsi="Times New Roman"/>
    </w:rPr>
  </w:style>
  <w:style w:type="paragraph" w:styleId="Reviso">
    <w:name w:val="Revision"/>
    <w:hidden/>
    <w:uiPriority w:val="99"/>
    <w:semiHidden/>
    <w:rsid w:val="007D082E"/>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024790">
      <w:bodyDiv w:val="1"/>
      <w:marLeft w:val="0"/>
      <w:marRight w:val="0"/>
      <w:marTop w:val="0"/>
      <w:marBottom w:val="0"/>
      <w:divBdr>
        <w:top w:val="none" w:sz="0" w:space="0" w:color="auto"/>
        <w:left w:val="none" w:sz="0" w:space="0" w:color="auto"/>
        <w:bottom w:val="none" w:sz="0" w:space="0" w:color="auto"/>
        <w:right w:val="none" w:sz="0" w:space="0" w:color="auto"/>
      </w:divBdr>
    </w:div>
    <w:div w:id="137186412">
      <w:bodyDiv w:val="1"/>
      <w:marLeft w:val="0"/>
      <w:marRight w:val="0"/>
      <w:marTop w:val="0"/>
      <w:marBottom w:val="0"/>
      <w:divBdr>
        <w:top w:val="none" w:sz="0" w:space="0" w:color="auto"/>
        <w:left w:val="none" w:sz="0" w:space="0" w:color="auto"/>
        <w:bottom w:val="none" w:sz="0" w:space="0" w:color="auto"/>
        <w:right w:val="none" w:sz="0" w:space="0" w:color="auto"/>
      </w:divBdr>
    </w:div>
    <w:div w:id="141705101">
      <w:bodyDiv w:val="1"/>
      <w:marLeft w:val="0"/>
      <w:marRight w:val="0"/>
      <w:marTop w:val="0"/>
      <w:marBottom w:val="0"/>
      <w:divBdr>
        <w:top w:val="none" w:sz="0" w:space="0" w:color="auto"/>
        <w:left w:val="none" w:sz="0" w:space="0" w:color="auto"/>
        <w:bottom w:val="none" w:sz="0" w:space="0" w:color="auto"/>
        <w:right w:val="none" w:sz="0" w:space="0" w:color="auto"/>
      </w:divBdr>
    </w:div>
    <w:div w:id="236208383">
      <w:bodyDiv w:val="1"/>
      <w:marLeft w:val="0"/>
      <w:marRight w:val="0"/>
      <w:marTop w:val="0"/>
      <w:marBottom w:val="0"/>
      <w:divBdr>
        <w:top w:val="none" w:sz="0" w:space="0" w:color="auto"/>
        <w:left w:val="none" w:sz="0" w:space="0" w:color="auto"/>
        <w:bottom w:val="none" w:sz="0" w:space="0" w:color="auto"/>
        <w:right w:val="none" w:sz="0" w:space="0" w:color="auto"/>
      </w:divBdr>
    </w:div>
    <w:div w:id="239367050">
      <w:bodyDiv w:val="1"/>
      <w:marLeft w:val="0"/>
      <w:marRight w:val="0"/>
      <w:marTop w:val="0"/>
      <w:marBottom w:val="0"/>
      <w:divBdr>
        <w:top w:val="none" w:sz="0" w:space="0" w:color="auto"/>
        <w:left w:val="none" w:sz="0" w:space="0" w:color="auto"/>
        <w:bottom w:val="none" w:sz="0" w:space="0" w:color="auto"/>
        <w:right w:val="none" w:sz="0" w:space="0" w:color="auto"/>
      </w:divBdr>
    </w:div>
    <w:div w:id="294795363">
      <w:bodyDiv w:val="1"/>
      <w:marLeft w:val="0"/>
      <w:marRight w:val="0"/>
      <w:marTop w:val="0"/>
      <w:marBottom w:val="0"/>
      <w:divBdr>
        <w:top w:val="none" w:sz="0" w:space="0" w:color="auto"/>
        <w:left w:val="none" w:sz="0" w:space="0" w:color="auto"/>
        <w:bottom w:val="none" w:sz="0" w:space="0" w:color="auto"/>
        <w:right w:val="none" w:sz="0" w:space="0" w:color="auto"/>
      </w:divBdr>
    </w:div>
    <w:div w:id="329990598">
      <w:bodyDiv w:val="1"/>
      <w:marLeft w:val="0"/>
      <w:marRight w:val="0"/>
      <w:marTop w:val="0"/>
      <w:marBottom w:val="0"/>
      <w:divBdr>
        <w:top w:val="none" w:sz="0" w:space="0" w:color="auto"/>
        <w:left w:val="none" w:sz="0" w:space="0" w:color="auto"/>
        <w:bottom w:val="none" w:sz="0" w:space="0" w:color="auto"/>
        <w:right w:val="none" w:sz="0" w:space="0" w:color="auto"/>
      </w:divBdr>
    </w:div>
    <w:div w:id="755974645">
      <w:bodyDiv w:val="1"/>
      <w:marLeft w:val="0"/>
      <w:marRight w:val="0"/>
      <w:marTop w:val="0"/>
      <w:marBottom w:val="0"/>
      <w:divBdr>
        <w:top w:val="none" w:sz="0" w:space="0" w:color="auto"/>
        <w:left w:val="none" w:sz="0" w:space="0" w:color="auto"/>
        <w:bottom w:val="none" w:sz="0" w:space="0" w:color="auto"/>
        <w:right w:val="none" w:sz="0" w:space="0" w:color="auto"/>
      </w:divBdr>
    </w:div>
    <w:div w:id="843323185">
      <w:bodyDiv w:val="1"/>
      <w:marLeft w:val="0"/>
      <w:marRight w:val="0"/>
      <w:marTop w:val="0"/>
      <w:marBottom w:val="0"/>
      <w:divBdr>
        <w:top w:val="none" w:sz="0" w:space="0" w:color="auto"/>
        <w:left w:val="none" w:sz="0" w:space="0" w:color="auto"/>
        <w:bottom w:val="none" w:sz="0" w:space="0" w:color="auto"/>
        <w:right w:val="none" w:sz="0" w:space="0" w:color="auto"/>
      </w:divBdr>
    </w:div>
    <w:div w:id="854810292">
      <w:bodyDiv w:val="1"/>
      <w:marLeft w:val="0"/>
      <w:marRight w:val="0"/>
      <w:marTop w:val="0"/>
      <w:marBottom w:val="0"/>
      <w:divBdr>
        <w:top w:val="none" w:sz="0" w:space="0" w:color="auto"/>
        <w:left w:val="none" w:sz="0" w:space="0" w:color="auto"/>
        <w:bottom w:val="none" w:sz="0" w:space="0" w:color="auto"/>
        <w:right w:val="none" w:sz="0" w:space="0" w:color="auto"/>
      </w:divBdr>
    </w:div>
    <w:div w:id="884801684">
      <w:bodyDiv w:val="1"/>
      <w:marLeft w:val="0"/>
      <w:marRight w:val="0"/>
      <w:marTop w:val="0"/>
      <w:marBottom w:val="0"/>
      <w:divBdr>
        <w:top w:val="none" w:sz="0" w:space="0" w:color="auto"/>
        <w:left w:val="none" w:sz="0" w:space="0" w:color="auto"/>
        <w:bottom w:val="none" w:sz="0" w:space="0" w:color="auto"/>
        <w:right w:val="none" w:sz="0" w:space="0" w:color="auto"/>
      </w:divBdr>
    </w:div>
    <w:div w:id="955597574">
      <w:bodyDiv w:val="1"/>
      <w:marLeft w:val="0"/>
      <w:marRight w:val="0"/>
      <w:marTop w:val="0"/>
      <w:marBottom w:val="0"/>
      <w:divBdr>
        <w:top w:val="none" w:sz="0" w:space="0" w:color="auto"/>
        <w:left w:val="none" w:sz="0" w:space="0" w:color="auto"/>
        <w:bottom w:val="none" w:sz="0" w:space="0" w:color="auto"/>
        <w:right w:val="none" w:sz="0" w:space="0" w:color="auto"/>
      </w:divBdr>
    </w:div>
    <w:div w:id="1025129815">
      <w:bodyDiv w:val="1"/>
      <w:marLeft w:val="0"/>
      <w:marRight w:val="0"/>
      <w:marTop w:val="0"/>
      <w:marBottom w:val="0"/>
      <w:divBdr>
        <w:top w:val="none" w:sz="0" w:space="0" w:color="auto"/>
        <w:left w:val="none" w:sz="0" w:space="0" w:color="auto"/>
        <w:bottom w:val="none" w:sz="0" w:space="0" w:color="auto"/>
        <w:right w:val="none" w:sz="0" w:space="0" w:color="auto"/>
      </w:divBdr>
    </w:div>
    <w:div w:id="1043288201">
      <w:bodyDiv w:val="1"/>
      <w:marLeft w:val="0"/>
      <w:marRight w:val="0"/>
      <w:marTop w:val="0"/>
      <w:marBottom w:val="0"/>
      <w:divBdr>
        <w:top w:val="none" w:sz="0" w:space="0" w:color="auto"/>
        <w:left w:val="none" w:sz="0" w:space="0" w:color="auto"/>
        <w:bottom w:val="none" w:sz="0" w:space="0" w:color="auto"/>
        <w:right w:val="none" w:sz="0" w:space="0" w:color="auto"/>
      </w:divBdr>
    </w:div>
    <w:div w:id="1067798289">
      <w:bodyDiv w:val="1"/>
      <w:marLeft w:val="0"/>
      <w:marRight w:val="0"/>
      <w:marTop w:val="0"/>
      <w:marBottom w:val="0"/>
      <w:divBdr>
        <w:top w:val="none" w:sz="0" w:space="0" w:color="auto"/>
        <w:left w:val="none" w:sz="0" w:space="0" w:color="auto"/>
        <w:bottom w:val="none" w:sz="0" w:space="0" w:color="auto"/>
        <w:right w:val="none" w:sz="0" w:space="0" w:color="auto"/>
      </w:divBdr>
    </w:div>
    <w:div w:id="1349717087">
      <w:bodyDiv w:val="1"/>
      <w:marLeft w:val="0"/>
      <w:marRight w:val="0"/>
      <w:marTop w:val="0"/>
      <w:marBottom w:val="0"/>
      <w:divBdr>
        <w:top w:val="none" w:sz="0" w:space="0" w:color="auto"/>
        <w:left w:val="none" w:sz="0" w:space="0" w:color="auto"/>
        <w:bottom w:val="none" w:sz="0" w:space="0" w:color="auto"/>
        <w:right w:val="none" w:sz="0" w:space="0" w:color="auto"/>
      </w:divBdr>
    </w:div>
    <w:div w:id="1462963127">
      <w:bodyDiv w:val="1"/>
      <w:marLeft w:val="0"/>
      <w:marRight w:val="0"/>
      <w:marTop w:val="0"/>
      <w:marBottom w:val="0"/>
      <w:divBdr>
        <w:top w:val="none" w:sz="0" w:space="0" w:color="auto"/>
        <w:left w:val="none" w:sz="0" w:space="0" w:color="auto"/>
        <w:bottom w:val="none" w:sz="0" w:space="0" w:color="auto"/>
        <w:right w:val="none" w:sz="0" w:space="0" w:color="auto"/>
      </w:divBdr>
    </w:div>
    <w:div w:id="1607152324">
      <w:bodyDiv w:val="1"/>
      <w:marLeft w:val="0"/>
      <w:marRight w:val="0"/>
      <w:marTop w:val="0"/>
      <w:marBottom w:val="0"/>
      <w:divBdr>
        <w:top w:val="none" w:sz="0" w:space="0" w:color="auto"/>
        <w:left w:val="none" w:sz="0" w:space="0" w:color="auto"/>
        <w:bottom w:val="none" w:sz="0" w:space="0" w:color="auto"/>
        <w:right w:val="none" w:sz="0" w:space="0" w:color="auto"/>
      </w:divBdr>
    </w:div>
    <w:div w:id="1704282969">
      <w:bodyDiv w:val="1"/>
      <w:marLeft w:val="0"/>
      <w:marRight w:val="0"/>
      <w:marTop w:val="0"/>
      <w:marBottom w:val="0"/>
      <w:divBdr>
        <w:top w:val="none" w:sz="0" w:space="0" w:color="auto"/>
        <w:left w:val="none" w:sz="0" w:space="0" w:color="auto"/>
        <w:bottom w:val="none" w:sz="0" w:space="0" w:color="auto"/>
        <w:right w:val="none" w:sz="0" w:space="0" w:color="auto"/>
      </w:divBdr>
    </w:div>
    <w:div w:id="1823345822">
      <w:bodyDiv w:val="1"/>
      <w:marLeft w:val="0"/>
      <w:marRight w:val="0"/>
      <w:marTop w:val="0"/>
      <w:marBottom w:val="0"/>
      <w:divBdr>
        <w:top w:val="none" w:sz="0" w:space="0" w:color="auto"/>
        <w:left w:val="none" w:sz="0" w:space="0" w:color="auto"/>
        <w:bottom w:val="none" w:sz="0" w:space="0" w:color="auto"/>
        <w:right w:val="none" w:sz="0" w:space="0" w:color="auto"/>
      </w:divBdr>
    </w:div>
    <w:div w:id="20843301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3.bcb.gov.br/sgspub/localizarseries/localizarSeries.do?method=prepararTelaLocalizarSeries" TargetMode="External"/><Relationship Id="rId13" Type="http://schemas.openxmlformats.org/officeDocument/2006/relationships/hyperlink" Target="http://www.ibge.gov.br/home/estatistica/indicadores/pib/defaultcnt.shtm" TargetMode="External"/><Relationship Id="rId18" Type="http://schemas.openxmlformats.org/officeDocument/2006/relationships/hyperlink" Target="http://revistas.fee.tche.br/index.php/indicadores/article/view/257"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emf"/><Relationship Id="rId12" Type="http://schemas.openxmlformats.org/officeDocument/2006/relationships/image" Target="media/image5.emf"/><Relationship Id="rId17" Type="http://schemas.openxmlformats.org/officeDocument/2006/relationships/hyperlink" Target="http://www.ipea.gov.br/agencia/images/stories/PDFs/livros/livros/20150415_livro_insercao-externa.pdf" TargetMode="External"/><Relationship Id="rId2" Type="http://schemas.openxmlformats.org/officeDocument/2006/relationships/styles" Target="styles.xml"/><Relationship Id="rId16" Type="http://schemas.openxmlformats.org/officeDocument/2006/relationships/hyperlink" Target="http://www.scielo.br/scielo.php?pid=S0103-40142001000100007&amp;script=sci_arttext"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e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7.emf"/><Relationship Id="rId23"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hyperlink" Target="http://www.fpabramo.org.br/uploads/cartaaopovobrasileiro.pdf" TargetMode="Externa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6.emf"/><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territoriopaiva.com.br/producao-teorica/artigos-publicados/indicadores-economicos-fee." TargetMode="External"/><Relationship Id="rId2" Type="http://schemas.openxmlformats.org/officeDocument/2006/relationships/hyperlink" Target="http://territoriopaiva.com.br/producao-teorica/artigos-publicados/indicadores-economicos-fee" TargetMode="External"/><Relationship Id="rId1" Type="http://schemas.openxmlformats.org/officeDocument/2006/relationships/hyperlink" Target="http://territoriopaiva.com.br/producao-teorica/artigos-publicados/indicadores-economicos-f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D24684-4737-4A03-8024-33F7C9A77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30</Pages>
  <Words>10617</Words>
  <Characters>57333</Characters>
  <Application>Microsoft Office Word</Application>
  <DocSecurity>0</DocSecurity>
  <Lines>477</Lines>
  <Paragraphs>135</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67815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Paiva</dc:creator>
  <cp:lastModifiedBy>Microsoft Office User</cp:lastModifiedBy>
  <cp:revision>2</cp:revision>
  <dcterms:created xsi:type="dcterms:W3CDTF">2020-06-23T20:13:00Z</dcterms:created>
  <dcterms:modified xsi:type="dcterms:W3CDTF">2020-06-23T20:13:00Z</dcterms:modified>
</cp:coreProperties>
</file>